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88959" w14:textId="77777777" w:rsidR="007C50E8" w:rsidRDefault="007C50E8" w:rsidP="006949FD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Times New Roman"/>
          <w:noProof/>
          <w:sz w:val="20"/>
        </w:rPr>
        <w:drawing>
          <wp:inline distT="0" distB="0" distL="0" distR="0" wp14:anchorId="1AD0D046" wp14:editId="63F29577">
            <wp:extent cx="6095231" cy="968121"/>
            <wp:effectExtent l="0" t="0" r="0" b="0"/>
            <wp:docPr id="1" name="Image 1" descr="Immagine che contiene testo, Carattere, schermata, grafica&#10;&#10;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Carattere, schermata, grafica&#10;&#10;Il contenuto generato dall'IA potrebbe non essere corretto.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2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16CB9" w14:textId="77777777" w:rsidR="007C50E8" w:rsidRDefault="007C50E8" w:rsidP="006949FD">
      <w:pPr>
        <w:jc w:val="center"/>
        <w:rPr>
          <w:rFonts w:ascii="Calibri" w:hAnsi="Calibri" w:cs="Calibri"/>
          <w:sz w:val="22"/>
          <w:szCs w:val="22"/>
        </w:rPr>
      </w:pPr>
    </w:p>
    <w:p w14:paraId="79BA6ED0" w14:textId="36D9F3F9" w:rsidR="005F0A15" w:rsidRPr="005F0A15" w:rsidRDefault="005F0A15" w:rsidP="006949FD">
      <w:pPr>
        <w:jc w:val="center"/>
        <w:rPr>
          <w:rFonts w:ascii="Calibri" w:hAnsi="Calibri" w:cs="Calibri"/>
          <w:sz w:val="22"/>
          <w:szCs w:val="22"/>
        </w:rPr>
      </w:pPr>
      <w:r w:rsidRPr="005F0A15">
        <w:rPr>
          <w:rFonts w:ascii="Calibri" w:hAnsi="Calibri" w:cs="Calibri"/>
          <w:sz w:val="22"/>
          <w:szCs w:val="22"/>
        </w:rPr>
        <w:t>Nota stampa</w:t>
      </w:r>
    </w:p>
    <w:p w14:paraId="6928A5B2" w14:textId="77777777" w:rsidR="005F0A15" w:rsidRPr="005F0A15" w:rsidRDefault="005F0A15" w:rsidP="006949FD">
      <w:pPr>
        <w:jc w:val="center"/>
        <w:rPr>
          <w:rFonts w:ascii="Calibri" w:hAnsi="Calibri" w:cs="Calibri"/>
          <w:sz w:val="22"/>
          <w:szCs w:val="22"/>
        </w:rPr>
      </w:pPr>
    </w:p>
    <w:p w14:paraId="061FCA43" w14:textId="292FC84D" w:rsidR="005F0A15" w:rsidRPr="003D284C" w:rsidRDefault="006949FD" w:rsidP="006949FD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D284C">
        <w:rPr>
          <w:rFonts w:ascii="Calibri" w:hAnsi="Calibri" w:cs="Calibri"/>
          <w:b/>
          <w:bCs/>
          <w:sz w:val="28"/>
          <w:szCs w:val="28"/>
        </w:rPr>
        <w:t>OROAREZZO</w:t>
      </w:r>
      <w:r w:rsidR="005F0A15" w:rsidRPr="003D284C">
        <w:rPr>
          <w:rFonts w:ascii="Calibri" w:hAnsi="Calibri" w:cs="Calibri"/>
          <w:b/>
          <w:bCs/>
          <w:sz w:val="28"/>
          <w:szCs w:val="28"/>
        </w:rPr>
        <w:t xml:space="preserve">, </w:t>
      </w:r>
      <w:r w:rsidRPr="003D284C">
        <w:rPr>
          <w:rFonts w:ascii="Calibri" w:hAnsi="Calibri" w:cs="Calibri"/>
          <w:b/>
          <w:bCs/>
          <w:sz w:val="28"/>
          <w:szCs w:val="28"/>
        </w:rPr>
        <w:t>IL DISTRETTO VALE LA METÀ DELL’EXPORT NAZIONALE</w:t>
      </w:r>
    </w:p>
    <w:p w14:paraId="33CFC722" w14:textId="77777777" w:rsidR="005F0A15" w:rsidRPr="005F0A15" w:rsidRDefault="005F0A15">
      <w:pPr>
        <w:rPr>
          <w:rFonts w:ascii="Calibri" w:hAnsi="Calibri" w:cs="Calibri"/>
          <w:sz w:val="22"/>
          <w:szCs w:val="22"/>
        </w:rPr>
      </w:pPr>
    </w:p>
    <w:p w14:paraId="27E230E9" w14:textId="56EA5580" w:rsidR="005F0A15" w:rsidRPr="007238EE" w:rsidRDefault="007238EE" w:rsidP="007238EE">
      <w:pPr>
        <w:pStyle w:val="Paragrafoelenco"/>
        <w:numPr>
          <w:ilvl w:val="0"/>
          <w:numId w:val="1"/>
        </w:numPr>
        <w:rPr>
          <w:rFonts w:ascii="Calibri" w:hAnsi="Calibri" w:cs="Calibri"/>
          <w:b/>
          <w:bCs/>
        </w:rPr>
      </w:pPr>
      <w:r w:rsidRPr="007238EE">
        <w:rPr>
          <w:rFonts w:ascii="Calibri" w:hAnsi="Calibri" w:cs="Calibri"/>
          <w:b/>
          <w:bCs/>
        </w:rPr>
        <w:t>Arezzo primo distretto orafo italiano, export a 7,7 miliardi. È il 48,2% del totale nazionale</w:t>
      </w:r>
    </w:p>
    <w:p w14:paraId="683D5074" w14:textId="651DD17C" w:rsidR="005F0A15" w:rsidRPr="007238EE" w:rsidRDefault="00C370AD" w:rsidP="007238EE">
      <w:pPr>
        <w:pStyle w:val="Paragrafoelenco"/>
        <w:numPr>
          <w:ilvl w:val="0"/>
          <w:numId w:val="1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L’export italiano ha chiuso il 2024 a +41% per un controvalore di 15,5 miliardi di euro</w:t>
      </w:r>
      <w:r w:rsidR="007238EE">
        <w:rPr>
          <w:rFonts w:ascii="Calibri" w:hAnsi="Calibri" w:cs="Calibri"/>
          <w:b/>
          <w:bCs/>
        </w:rPr>
        <w:t xml:space="preserve"> </w:t>
      </w:r>
    </w:p>
    <w:p w14:paraId="4007FCC5" w14:textId="3DFEDB4F" w:rsidR="005F0A15" w:rsidRPr="007238EE" w:rsidRDefault="00C370AD" w:rsidP="007238EE">
      <w:pPr>
        <w:pStyle w:val="Paragrafoelenco"/>
        <w:numPr>
          <w:ilvl w:val="0"/>
          <w:numId w:val="1"/>
        </w:num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Balzo della Turchia che compra oltre 61 ton di oreficeria made in </w:t>
      </w:r>
      <w:proofErr w:type="spellStart"/>
      <w:r>
        <w:rPr>
          <w:rFonts w:ascii="Calibri" w:hAnsi="Calibri" w:cs="Calibri"/>
          <w:b/>
          <w:bCs/>
        </w:rPr>
        <w:t>Italy</w:t>
      </w:r>
      <w:proofErr w:type="spellEnd"/>
      <w:r>
        <w:rPr>
          <w:rFonts w:ascii="Calibri" w:hAnsi="Calibri" w:cs="Calibri"/>
          <w:b/>
          <w:bCs/>
        </w:rPr>
        <w:t xml:space="preserve"> per 5,3 miliardi</w:t>
      </w:r>
    </w:p>
    <w:p w14:paraId="4ABC6A6E" w14:textId="77777777" w:rsidR="005F0A15" w:rsidRPr="005F0A15" w:rsidRDefault="005F0A15" w:rsidP="003D284C">
      <w:pPr>
        <w:jc w:val="center"/>
        <w:rPr>
          <w:rFonts w:ascii="Calibri" w:hAnsi="Calibri" w:cs="Calibri"/>
          <w:sz w:val="22"/>
          <w:szCs w:val="22"/>
        </w:rPr>
      </w:pPr>
    </w:p>
    <w:p w14:paraId="2E7D1B51" w14:textId="7A37E4AE" w:rsidR="005F0A15" w:rsidRPr="005F0A15" w:rsidRDefault="003D284C" w:rsidP="003D284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oroarezzo.it | </w:t>
      </w:r>
      <w:r w:rsidRPr="003D284C">
        <w:rPr>
          <w:rFonts w:ascii="Calibri" w:hAnsi="Calibri" w:cs="Calibri"/>
          <w:i/>
          <w:iCs/>
          <w:sz w:val="22"/>
          <w:szCs w:val="22"/>
        </w:rPr>
        <w:t xml:space="preserve">Shaping </w:t>
      </w:r>
      <w:proofErr w:type="spellStart"/>
      <w:r w:rsidRPr="003D284C">
        <w:rPr>
          <w:rFonts w:ascii="Calibri" w:hAnsi="Calibri" w:cs="Calibri"/>
          <w:i/>
          <w:iCs/>
          <w:sz w:val="22"/>
          <w:szCs w:val="22"/>
        </w:rPr>
        <w:t>Jewelry</w:t>
      </w:r>
      <w:proofErr w:type="spellEnd"/>
      <w:r w:rsidRPr="003D284C">
        <w:rPr>
          <w:rFonts w:ascii="Calibri" w:hAnsi="Calibri" w:cs="Calibri"/>
          <w:i/>
          <w:iCs/>
          <w:sz w:val="22"/>
          <w:szCs w:val="22"/>
        </w:rPr>
        <w:t xml:space="preserve"> </w:t>
      </w:r>
      <w:proofErr w:type="spellStart"/>
      <w:r w:rsidRPr="003D284C">
        <w:rPr>
          <w:rFonts w:ascii="Calibri" w:hAnsi="Calibri" w:cs="Calibri"/>
          <w:i/>
          <w:iCs/>
          <w:sz w:val="22"/>
          <w:szCs w:val="22"/>
        </w:rPr>
        <w:t>Ideas</w:t>
      </w:r>
      <w:proofErr w:type="spellEnd"/>
    </w:p>
    <w:p w14:paraId="673BB727" w14:textId="77777777" w:rsidR="005F0A15" w:rsidRPr="005F0A15" w:rsidRDefault="005F0A15" w:rsidP="003D284C">
      <w:pPr>
        <w:jc w:val="center"/>
        <w:rPr>
          <w:rFonts w:ascii="Calibri" w:hAnsi="Calibri" w:cs="Calibri"/>
          <w:sz w:val="22"/>
          <w:szCs w:val="22"/>
        </w:rPr>
      </w:pPr>
    </w:p>
    <w:p w14:paraId="1E615620" w14:textId="6CB392A0" w:rsidR="003D284C" w:rsidRPr="003D284C" w:rsidRDefault="005F0A15" w:rsidP="007C50E8">
      <w:pPr>
        <w:jc w:val="both"/>
        <w:rPr>
          <w:rFonts w:ascii="Calibri" w:hAnsi="Calibri" w:cs="Calibri"/>
          <w:sz w:val="22"/>
          <w:szCs w:val="22"/>
        </w:rPr>
      </w:pPr>
      <w:r w:rsidRPr="00CA1B42">
        <w:rPr>
          <w:rFonts w:ascii="Calibri" w:hAnsi="Calibri" w:cs="Calibri"/>
          <w:i/>
          <w:iCs/>
          <w:sz w:val="22"/>
          <w:szCs w:val="22"/>
        </w:rPr>
        <w:t>Arezzo, 10-13 maggio 2025</w:t>
      </w:r>
      <w:r w:rsidRPr="005F0A15">
        <w:rPr>
          <w:rFonts w:ascii="Calibri" w:hAnsi="Calibri" w:cs="Calibri"/>
          <w:sz w:val="22"/>
          <w:szCs w:val="22"/>
        </w:rPr>
        <w:t xml:space="preserve"> – </w:t>
      </w:r>
      <w:r w:rsidR="00872AFB">
        <w:rPr>
          <w:rFonts w:ascii="Calibri" w:hAnsi="Calibri" w:cs="Calibri"/>
          <w:sz w:val="22"/>
          <w:szCs w:val="22"/>
        </w:rPr>
        <w:t xml:space="preserve">Il distretto orafo di Arezzo </w:t>
      </w:r>
      <w:r w:rsidR="00C34695">
        <w:rPr>
          <w:rFonts w:ascii="Calibri" w:hAnsi="Calibri" w:cs="Calibri"/>
          <w:sz w:val="22"/>
          <w:szCs w:val="22"/>
        </w:rPr>
        <w:t xml:space="preserve">ha </w:t>
      </w:r>
      <w:r w:rsidR="00872AFB">
        <w:rPr>
          <w:rFonts w:ascii="Calibri" w:hAnsi="Calibri" w:cs="Calibri"/>
          <w:sz w:val="22"/>
          <w:szCs w:val="22"/>
        </w:rPr>
        <w:t>registra</w:t>
      </w:r>
      <w:r w:rsidR="00C34695">
        <w:rPr>
          <w:rFonts w:ascii="Calibri" w:hAnsi="Calibri" w:cs="Calibri"/>
          <w:sz w:val="22"/>
          <w:szCs w:val="22"/>
        </w:rPr>
        <w:t>to</w:t>
      </w:r>
      <w:r w:rsidR="00872AFB">
        <w:rPr>
          <w:rFonts w:ascii="Calibri" w:hAnsi="Calibri" w:cs="Calibri"/>
          <w:sz w:val="22"/>
          <w:szCs w:val="22"/>
        </w:rPr>
        <w:t xml:space="preserve"> nel 2024 una crescita </w:t>
      </w:r>
      <w:r w:rsidR="00CA1B42">
        <w:rPr>
          <w:rFonts w:ascii="Calibri" w:hAnsi="Calibri" w:cs="Calibri"/>
          <w:sz w:val="22"/>
          <w:szCs w:val="22"/>
        </w:rPr>
        <w:t xml:space="preserve">record </w:t>
      </w:r>
      <w:r w:rsidR="00872AFB">
        <w:rPr>
          <w:rFonts w:ascii="Calibri" w:hAnsi="Calibri" w:cs="Calibri"/>
          <w:sz w:val="22"/>
          <w:szCs w:val="22"/>
        </w:rPr>
        <w:t>dell</w:t>
      </w:r>
      <w:r w:rsidR="00CA1B42">
        <w:rPr>
          <w:rFonts w:ascii="Calibri" w:hAnsi="Calibri" w:cs="Calibri"/>
          <w:sz w:val="22"/>
          <w:szCs w:val="22"/>
        </w:rPr>
        <w:t>e esportazioni. Nel periodo gennaio-dicembre</w:t>
      </w:r>
      <w:r w:rsidR="006949FD">
        <w:rPr>
          <w:rFonts w:ascii="Calibri" w:hAnsi="Calibri" w:cs="Calibri"/>
          <w:sz w:val="22"/>
          <w:szCs w:val="22"/>
        </w:rPr>
        <w:t xml:space="preserve">, infatti, </w:t>
      </w:r>
      <w:r w:rsidR="003D284C">
        <w:rPr>
          <w:rFonts w:ascii="Calibri" w:hAnsi="Calibri" w:cs="Calibri"/>
          <w:sz w:val="22"/>
          <w:szCs w:val="22"/>
        </w:rPr>
        <w:t>s</w:t>
      </w:r>
      <w:r w:rsidR="003D284C" w:rsidRPr="003D284C">
        <w:rPr>
          <w:rFonts w:ascii="Calibri" w:hAnsi="Calibri" w:cs="Calibri"/>
          <w:sz w:val="22"/>
          <w:szCs w:val="22"/>
        </w:rPr>
        <w:t xml:space="preserve">econdo i dati ISTAT elaborati dal Centro Studi </w:t>
      </w:r>
      <w:r w:rsidR="003D284C" w:rsidRPr="003D284C">
        <w:rPr>
          <w:rFonts w:ascii="Calibri" w:hAnsi="Calibri" w:cs="Calibri"/>
          <w:b/>
          <w:bCs/>
          <w:sz w:val="22"/>
          <w:szCs w:val="22"/>
        </w:rPr>
        <w:t xml:space="preserve">Confindustria </w:t>
      </w:r>
      <w:proofErr w:type="spellStart"/>
      <w:r w:rsidR="003D284C" w:rsidRPr="003D284C">
        <w:rPr>
          <w:rFonts w:ascii="Calibri" w:hAnsi="Calibri" w:cs="Calibri"/>
          <w:b/>
          <w:bCs/>
          <w:sz w:val="22"/>
          <w:szCs w:val="22"/>
        </w:rPr>
        <w:t>Federorafi</w:t>
      </w:r>
      <w:proofErr w:type="spellEnd"/>
      <w:r w:rsidR="003D284C" w:rsidRPr="003D284C">
        <w:rPr>
          <w:rFonts w:ascii="Calibri" w:hAnsi="Calibri" w:cs="Calibri"/>
          <w:sz w:val="22"/>
          <w:szCs w:val="22"/>
        </w:rPr>
        <w:t>,</w:t>
      </w:r>
      <w:r w:rsidR="003D284C">
        <w:rPr>
          <w:rFonts w:ascii="Calibri" w:hAnsi="Calibri" w:cs="Calibri"/>
          <w:sz w:val="22"/>
          <w:szCs w:val="22"/>
        </w:rPr>
        <w:t xml:space="preserve"> </w:t>
      </w:r>
      <w:r w:rsidR="003D284C" w:rsidRPr="003D284C">
        <w:rPr>
          <w:rFonts w:ascii="Calibri" w:hAnsi="Calibri" w:cs="Calibri"/>
          <w:sz w:val="22"/>
          <w:szCs w:val="22"/>
        </w:rPr>
        <w:t xml:space="preserve">l’export aretino di settore vale </w:t>
      </w:r>
      <w:r w:rsidR="003D284C" w:rsidRPr="003D284C">
        <w:rPr>
          <w:rFonts w:ascii="Calibri" w:hAnsi="Calibri" w:cs="Calibri"/>
          <w:b/>
          <w:bCs/>
          <w:sz w:val="22"/>
          <w:szCs w:val="22"/>
        </w:rPr>
        <w:t>7,694 mld</w:t>
      </w:r>
      <w:r w:rsidR="003D284C" w:rsidRPr="003D284C">
        <w:rPr>
          <w:rFonts w:ascii="Calibri" w:hAnsi="Calibri" w:cs="Calibri"/>
          <w:sz w:val="22"/>
          <w:szCs w:val="22"/>
        </w:rPr>
        <w:t xml:space="preserve"> con un </w:t>
      </w:r>
      <w:r w:rsidR="003D284C" w:rsidRPr="003D284C">
        <w:rPr>
          <w:rFonts w:ascii="Calibri" w:hAnsi="Calibri" w:cs="Calibri"/>
          <w:b/>
          <w:bCs/>
          <w:sz w:val="22"/>
          <w:szCs w:val="22"/>
        </w:rPr>
        <w:t>+119%</w:t>
      </w:r>
      <w:r w:rsidR="003D284C" w:rsidRPr="003D284C">
        <w:rPr>
          <w:rFonts w:ascii="Calibri" w:hAnsi="Calibri" w:cs="Calibri"/>
          <w:sz w:val="22"/>
          <w:szCs w:val="22"/>
        </w:rPr>
        <w:t xml:space="preserve"> sull’annualità precedente. </w:t>
      </w:r>
    </w:p>
    <w:p w14:paraId="72804E2D" w14:textId="79ACF2E9" w:rsidR="00591243" w:rsidRDefault="003D284C" w:rsidP="007C50E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Risultato che equivale al</w:t>
      </w:r>
      <w:r w:rsidRPr="003D284C">
        <w:rPr>
          <w:rFonts w:ascii="Calibri" w:hAnsi="Calibri" w:cs="Calibri"/>
          <w:sz w:val="22"/>
          <w:szCs w:val="22"/>
        </w:rPr>
        <w:t xml:space="preserve"> </w:t>
      </w:r>
      <w:r w:rsidRPr="003D284C">
        <w:rPr>
          <w:rFonts w:ascii="Calibri" w:hAnsi="Calibri" w:cs="Calibri"/>
          <w:b/>
          <w:bCs/>
          <w:sz w:val="22"/>
          <w:szCs w:val="22"/>
        </w:rPr>
        <w:t>48,2%</w:t>
      </w:r>
      <w:r w:rsidRPr="003D284C">
        <w:rPr>
          <w:rFonts w:ascii="Calibri" w:hAnsi="Calibri" w:cs="Calibri"/>
          <w:sz w:val="22"/>
          <w:szCs w:val="22"/>
        </w:rPr>
        <w:t xml:space="preserve"> del totale dell’export orafo nazionale.</w:t>
      </w:r>
      <w:r w:rsidR="00591243">
        <w:rPr>
          <w:rFonts w:ascii="Calibri" w:hAnsi="Calibri" w:cs="Calibri"/>
          <w:sz w:val="22"/>
          <w:szCs w:val="22"/>
        </w:rPr>
        <w:t xml:space="preserve"> </w:t>
      </w:r>
      <w:r w:rsidR="00591243" w:rsidRPr="003D284C">
        <w:rPr>
          <w:rFonts w:ascii="Calibri" w:hAnsi="Calibri" w:cs="Calibri"/>
          <w:sz w:val="22"/>
          <w:szCs w:val="22"/>
        </w:rPr>
        <w:t>Seguono Vicenza (15,6%) e Milano (12,3%), Alessandria (11,6%); quinta Firenze (3,8%).</w:t>
      </w:r>
      <w:r w:rsidRPr="003D284C">
        <w:rPr>
          <w:rFonts w:ascii="Calibri" w:hAnsi="Calibri" w:cs="Calibri"/>
          <w:sz w:val="22"/>
          <w:szCs w:val="22"/>
        </w:rPr>
        <w:t xml:space="preserve"> </w:t>
      </w:r>
      <w:r w:rsidR="00591243" w:rsidRPr="003D284C">
        <w:rPr>
          <w:rFonts w:ascii="Calibri" w:hAnsi="Calibri" w:cs="Calibri"/>
          <w:sz w:val="22"/>
          <w:szCs w:val="22"/>
        </w:rPr>
        <w:t xml:space="preserve">I principali mercati di destinazione della </w:t>
      </w:r>
      <w:r w:rsidR="00591243" w:rsidRPr="007238EE">
        <w:rPr>
          <w:rFonts w:ascii="Calibri" w:hAnsi="Calibri" w:cs="Calibri"/>
          <w:b/>
          <w:bCs/>
          <w:sz w:val="22"/>
          <w:szCs w:val="22"/>
        </w:rPr>
        <w:t>manifattura aretina</w:t>
      </w:r>
      <w:r w:rsidR="00591243" w:rsidRPr="003D284C">
        <w:rPr>
          <w:rFonts w:ascii="Calibri" w:hAnsi="Calibri" w:cs="Calibri"/>
          <w:sz w:val="22"/>
          <w:szCs w:val="22"/>
        </w:rPr>
        <w:t xml:space="preserve"> sono, per volumi: </w:t>
      </w:r>
      <w:r w:rsidR="00591243" w:rsidRPr="00591243">
        <w:rPr>
          <w:rFonts w:ascii="Calibri" w:hAnsi="Calibri" w:cs="Calibri"/>
          <w:b/>
          <w:bCs/>
          <w:sz w:val="22"/>
          <w:szCs w:val="22"/>
        </w:rPr>
        <w:t>Turchia</w:t>
      </w:r>
      <w:r w:rsidR="00591243" w:rsidRPr="003D284C">
        <w:rPr>
          <w:rFonts w:ascii="Calibri" w:hAnsi="Calibri" w:cs="Calibri"/>
          <w:sz w:val="22"/>
          <w:szCs w:val="22"/>
        </w:rPr>
        <w:t xml:space="preserve"> con 4,733 mld (+523%), </w:t>
      </w:r>
      <w:r w:rsidR="00591243" w:rsidRPr="00591243">
        <w:rPr>
          <w:rFonts w:ascii="Calibri" w:hAnsi="Calibri" w:cs="Calibri"/>
          <w:b/>
          <w:bCs/>
          <w:sz w:val="22"/>
          <w:szCs w:val="22"/>
        </w:rPr>
        <w:t>Emirati Arabi Uniti</w:t>
      </w:r>
      <w:r w:rsidR="00591243" w:rsidRPr="003D284C">
        <w:rPr>
          <w:rFonts w:ascii="Calibri" w:hAnsi="Calibri" w:cs="Calibri"/>
          <w:sz w:val="22"/>
          <w:szCs w:val="22"/>
        </w:rPr>
        <w:t xml:space="preserve"> con 739 mln (+7,9%), </w:t>
      </w:r>
      <w:r w:rsidR="00591243" w:rsidRPr="00591243">
        <w:rPr>
          <w:rFonts w:ascii="Calibri" w:hAnsi="Calibri" w:cs="Calibri"/>
          <w:b/>
          <w:bCs/>
          <w:sz w:val="22"/>
          <w:szCs w:val="22"/>
        </w:rPr>
        <w:t>Stati Uniti</w:t>
      </w:r>
      <w:r w:rsidR="00591243" w:rsidRPr="003D284C">
        <w:rPr>
          <w:rFonts w:ascii="Calibri" w:hAnsi="Calibri" w:cs="Calibri"/>
          <w:sz w:val="22"/>
          <w:szCs w:val="22"/>
        </w:rPr>
        <w:t xml:space="preserve"> a 501,7 mln (+6,5%), </w:t>
      </w:r>
      <w:r w:rsidR="00591243" w:rsidRPr="00591243">
        <w:rPr>
          <w:rFonts w:ascii="Calibri" w:hAnsi="Calibri" w:cs="Calibri"/>
          <w:b/>
          <w:bCs/>
          <w:sz w:val="22"/>
          <w:szCs w:val="22"/>
        </w:rPr>
        <w:t>Francia</w:t>
      </w:r>
      <w:r w:rsidR="00591243" w:rsidRPr="003D284C">
        <w:rPr>
          <w:rFonts w:ascii="Calibri" w:hAnsi="Calibri" w:cs="Calibri"/>
          <w:sz w:val="22"/>
          <w:szCs w:val="22"/>
        </w:rPr>
        <w:t xml:space="preserve"> a 262,9 mln (+9,7%) e </w:t>
      </w:r>
      <w:r w:rsidR="00591243" w:rsidRPr="00591243">
        <w:rPr>
          <w:rFonts w:ascii="Calibri" w:hAnsi="Calibri" w:cs="Calibri"/>
          <w:b/>
          <w:bCs/>
          <w:sz w:val="22"/>
          <w:szCs w:val="22"/>
        </w:rPr>
        <w:t>Hong Kong</w:t>
      </w:r>
      <w:r w:rsidR="00591243" w:rsidRPr="003D284C">
        <w:rPr>
          <w:rFonts w:ascii="Calibri" w:hAnsi="Calibri" w:cs="Calibri"/>
          <w:sz w:val="22"/>
          <w:szCs w:val="22"/>
        </w:rPr>
        <w:t xml:space="preserve"> con 201,4 mln (-14,4%).</w:t>
      </w:r>
    </w:p>
    <w:p w14:paraId="2B5257CA" w14:textId="3F43F9BA" w:rsidR="003D284C" w:rsidRDefault="003D284C" w:rsidP="007C50E8">
      <w:pPr>
        <w:jc w:val="both"/>
        <w:rPr>
          <w:rFonts w:ascii="Calibri" w:hAnsi="Calibri" w:cs="Calibri"/>
          <w:sz w:val="22"/>
          <w:szCs w:val="22"/>
        </w:rPr>
      </w:pPr>
    </w:p>
    <w:p w14:paraId="0CC5BBAD" w14:textId="3353795A" w:rsidR="003D284C" w:rsidRPr="004E2BEE" w:rsidRDefault="004E2BEE" w:rsidP="007C50E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2BEE">
        <w:rPr>
          <w:rFonts w:ascii="Calibri" w:hAnsi="Calibri" w:cs="Calibri"/>
          <w:b/>
          <w:bCs/>
          <w:sz w:val="22"/>
          <w:szCs w:val="22"/>
        </w:rPr>
        <w:t xml:space="preserve">EXPORT NAZIONALE, SPINTA DA QUOTAZIONI DELLA </w:t>
      </w:r>
      <w:r w:rsidR="000277D6" w:rsidRPr="004E2BEE">
        <w:rPr>
          <w:rFonts w:ascii="Calibri" w:hAnsi="Calibri" w:cs="Calibri"/>
          <w:b/>
          <w:bCs/>
          <w:sz w:val="22"/>
          <w:szCs w:val="22"/>
        </w:rPr>
        <w:t>MATERIA PRIMA E TURCHI</w:t>
      </w:r>
      <w:r w:rsidRPr="004E2BEE">
        <w:rPr>
          <w:rFonts w:ascii="Calibri" w:hAnsi="Calibri" w:cs="Calibri"/>
          <w:b/>
          <w:bCs/>
          <w:sz w:val="22"/>
          <w:szCs w:val="22"/>
        </w:rPr>
        <w:t>A</w:t>
      </w:r>
    </w:p>
    <w:p w14:paraId="1C9107A3" w14:textId="77777777" w:rsidR="007C50E8" w:rsidRDefault="004E2BEE" w:rsidP="007C50E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</w:t>
      </w:r>
      <w:r w:rsidR="006949FD" w:rsidRPr="006949FD">
        <w:rPr>
          <w:rFonts w:ascii="Calibri" w:hAnsi="Calibri" w:cs="Calibri"/>
          <w:sz w:val="22"/>
          <w:szCs w:val="22"/>
        </w:rPr>
        <w:t xml:space="preserve">a crescita </w:t>
      </w:r>
      <w:r>
        <w:rPr>
          <w:rFonts w:ascii="Calibri" w:hAnsi="Calibri" w:cs="Calibri"/>
          <w:sz w:val="22"/>
          <w:szCs w:val="22"/>
        </w:rPr>
        <w:t xml:space="preserve">complessiva </w:t>
      </w:r>
      <w:r w:rsidR="006949FD" w:rsidRPr="006949FD">
        <w:rPr>
          <w:rFonts w:ascii="Calibri" w:hAnsi="Calibri" w:cs="Calibri"/>
          <w:sz w:val="22"/>
          <w:szCs w:val="22"/>
        </w:rPr>
        <w:t xml:space="preserve">dell’export </w:t>
      </w:r>
      <w:r>
        <w:rPr>
          <w:rFonts w:ascii="Calibri" w:hAnsi="Calibri" w:cs="Calibri"/>
          <w:sz w:val="22"/>
          <w:szCs w:val="22"/>
        </w:rPr>
        <w:t xml:space="preserve">italiano </w:t>
      </w:r>
      <w:r w:rsidR="005B7869" w:rsidRPr="006949FD">
        <w:rPr>
          <w:rFonts w:ascii="Calibri" w:hAnsi="Calibri" w:cs="Calibri"/>
          <w:sz w:val="22"/>
          <w:szCs w:val="22"/>
        </w:rPr>
        <w:t>O-A-G</w:t>
      </w:r>
      <w:r w:rsidR="005B786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è del </w:t>
      </w:r>
      <w:r w:rsidRPr="004E2BEE">
        <w:rPr>
          <w:rFonts w:ascii="Calibri" w:hAnsi="Calibri" w:cs="Calibri"/>
          <w:b/>
          <w:bCs/>
          <w:sz w:val="22"/>
          <w:szCs w:val="22"/>
        </w:rPr>
        <w:t>41,4</w:t>
      </w:r>
      <w:r w:rsidR="006949FD" w:rsidRPr="004E2BEE">
        <w:rPr>
          <w:rFonts w:ascii="Calibri" w:hAnsi="Calibri" w:cs="Calibri"/>
          <w:b/>
          <w:bCs/>
          <w:sz w:val="22"/>
          <w:szCs w:val="22"/>
        </w:rPr>
        <w:t>%</w:t>
      </w:r>
      <w:r w:rsidR="006949FD" w:rsidRPr="006949FD">
        <w:rPr>
          <w:rFonts w:ascii="Calibri" w:hAnsi="Calibri" w:cs="Calibri"/>
          <w:sz w:val="22"/>
          <w:szCs w:val="22"/>
        </w:rPr>
        <w:t xml:space="preserve">, </w:t>
      </w:r>
      <w:r w:rsidR="005B7869" w:rsidRPr="006949FD">
        <w:rPr>
          <w:rFonts w:ascii="Calibri" w:hAnsi="Calibri" w:cs="Calibri"/>
          <w:sz w:val="22"/>
          <w:szCs w:val="22"/>
        </w:rPr>
        <w:t xml:space="preserve">per un totale di </w:t>
      </w:r>
      <w:r w:rsidR="005B7869" w:rsidRPr="009B438F">
        <w:rPr>
          <w:rFonts w:ascii="Calibri" w:hAnsi="Calibri" w:cs="Calibri"/>
          <w:b/>
          <w:bCs/>
          <w:sz w:val="22"/>
          <w:szCs w:val="22"/>
        </w:rPr>
        <w:t>15,5 miliardi</w:t>
      </w:r>
      <w:r w:rsidR="005B7869" w:rsidRPr="006949FD">
        <w:rPr>
          <w:rFonts w:ascii="Calibri" w:hAnsi="Calibri" w:cs="Calibri"/>
          <w:sz w:val="22"/>
          <w:szCs w:val="22"/>
        </w:rPr>
        <w:t xml:space="preserve"> di euro</w:t>
      </w:r>
      <w:r w:rsidR="005B7869">
        <w:rPr>
          <w:rFonts w:ascii="Calibri" w:hAnsi="Calibri" w:cs="Calibri"/>
          <w:sz w:val="22"/>
          <w:szCs w:val="22"/>
        </w:rPr>
        <w:t xml:space="preserve">. I fattori che spiegano questa performance sono, nell’analisi che ne fa Confindustria </w:t>
      </w:r>
      <w:proofErr w:type="spellStart"/>
      <w:r w:rsidR="005B7869">
        <w:rPr>
          <w:rFonts w:ascii="Calibri" w:hAnsi="Calibri" w:cs="Calibri"/>
          <w:sz w:val="22"/>
          <w:szCs w:val="22"/>
        </w:rPr>
        <w:t>Federorafi</w:t>
      </w:r>
      <w:proofErr w:type="spellEnd"/>
      <w:r w:rsidR="005B7869">
        <w:rPr>
          <w:rFonts w:ascii="Calibri" w:hAnsi="Calibri" w:cs="Calibri"/>
          <w:sz w:val="22"/>
          <w:szCs w:val="22"/>
        </w:rPr>
        <w:t>,</w:t>
      </w:r>
      <w:r w:rsidR="005B7869" w:rsidRPr="006949FD">
        <w:rPr>
          <w:rFonts w:ascii="Calibri" w:hAnsi="Calibri" w:cs="Calibri"/>
          <w:sz w:val="22"/>
          <w:szCs w:val="22"/>
        </w:rPr>
        <w:t xml:space="preserve"> </w:t>
      </w:r>
      <w:r w:rsidR="006949FD" w:rsidRPr="006949FD">
        <w:rPr>
          <w:rFonts w:ascii="Calibri" w:hAnsi="Calibri" w:cs="Calibri"/>
          <w:sz w:val="22"/>
          <w:szCs w:val="22"/>
        </w:rPr>
        <w:t xml:space="preserve">le quotazioni </w:t>
      </w:r>
      <w:r w:rsidR="009B438F">
        <w:rPr>
          <w:rFonts w:ascii="Calibri" w:hAnsi="Calibri" w:cs="Calibri"/>
          <w:sz w:val="22"/>
          <w:szCs w:val="22"/>
        </w:rPr>
        <w:t xml:space="preserve">record </w:t>
      </w:r>
      <w:r w:rsidR="006949FD" w:rsidRPr="006949FD">
        <w:rPr>
          <w:rFonts w:ascii="Calibri" w:hAnsi="Calibri" w:cs="Calibri"/>
          <w:sz w:val="22"/>
          <w:szCs w:val="22"/>
        </w:rPr>
        <w:t>dei metalli preziosi</w:t>
      </w:r>
      <w:r>
        <w:rPr>
          <w:rFonts w:ascii="Calibri" w:hAnsi="Calibri" w:cs="Calibri"/>
          <w:sz w:val="22"/>
          <w:szCs w:val="22"/>
        </w:rPr>
        <w:t xml:space="preserve"> e</w:t>
      </w:r>
      <w:r w:rsidR="006949FD" w:rsidRPr="006949FD">
        <w:rPr>
          <w:rFonts w:ascii="Calibri" w:hAnsi="Calibri" w:cs="Calibri"/>
          <w:sz w:val="22"/>
          <w:szCs w:val="22"/>
        </w:rPr>
        <w:t xml:space="preserve"> soprattutto la performance “anomala” della Turchia</w:t>
      </w:r>
      <w:r>
        <w:rPr>
          <w:rFonts w:ascii="Calibri" w:hAnsi="Calibri" w:cs="Calibri"/>
          <w:sz w:val="22"/>
          <w:szCs w:val="22"/>
        </w:rPr>
        <w:t>.</w:t>
      </w:r>
      <w:r w:rsidR="006949FD" w:rsidRPr="006949FD">
        <w:rPr>
          <w:rFonts w:ascii="Calibri" w:hAnsi="Calibri" w:cs="Calibri"/>
          <w:sz w:val="22"/>
          <w:szCs w:val="22"/>
        </w:rPr>
        <w:t xml:space="preserve"> </w:t>
      </w:r>
    </w:p>
    <w:p w14:paraId="353F2206" w14:textId="77777777" w:rsidR="007C50E8" w:rsidRDefault="005B7869" w:rsidP="007C50E8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Se, da un lato, il mercato Ue ha assorbito </w:t>
      </w:r>
      <w:r w:rsidR="007B0D59">
        <w:rPr>
          <w:rFonts w:ascii="Calibri" w:hAnsi="Calibri" w:cs="Calibri"/>
          <w:sz w:val="22"/>
          <w:szCs w:val="22"/>
        </w:rPr>
        <w:t xml:space="preserve">il </w:t>
      </w:r>
      <w:r w:rsidR="007B0D59" w:rsidRPr="006949FD">
        <w:rPr>
          <w:rFonts w:ascii="Calibri" w:hAnsi="Calibri" w:cs="Calibri"/>
          <w:sz w:val="22"/>
          <w:szCs w:val="22"/>
        </w:rPr>
        <w:t>19,4%</w:t>
      </w:r>
      <w:r w:rsidR="006949FD" w:rsidRPr="006949FD">
        <w:rPr>
          <w:rFonts w:ascii="Calibri" w:hAnsi="Calibri" w:cs="Calibri"/>
          <w:sz w:val="22"/>
          <w:szCs w:val="22"/>
        </w:rPr>
        <w:t xml:space="preserve"> dell’export italiano di O-A-G</w:t>
      </w:r>
      <w:r w:rsidR="007B0D59">
        <w:rPr>
          <w:rFonts w:ascii="Calibri" w:hAnsi="Calibri" w:cs="Calibri"/>
          <w:sz w:val="22"/>
          <w:szCs w:val="22"/>
        </w:rPr>
        <w:t xml:space="preserve">, </w:t>
      </w:r>
      <w:r w:rsidR="006949FD" w:rsidRPr="006949FD">
        <w:rPr>
          <w:rFonts w:ascii="Calibri" w:hAnsi="Calibri" w:cs="Calibri"/>
          <w:sz w:val="22"/>
          <w:szCs w:val="22"/>
        </w:rPr>
        <w:t>l’</w:t>
      </w:r>
      <w:r w:rsidR="006949FD" w:rsidRPr="00954913">
        <w:rPr>
          <w:rFonts w:ascii="Calibri" w:hAnsi="Calibri" w:cs="Calibri"/>
          <w:b/>
          <w:bCs/>
          <w:sz w:val="22"/>
          <w:szCs w:val="22"/>
        </w:rPr>
        <w:t>area extra</w:t>
      </w:r>
      <w:r w:rsidR="007B0D59" w:rsidRPr="0095491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949FD" w:rsidRPr="00954913">
        <w:rPr>
          <w:rFonts w:ascii="Calibri" w:hAnsi="Calibri" w:cs="Calibri"/>
          <w:b/>
          <w:bCs/>
          <w:sz w:val="22"/>
          <w:szCs w:val="22"/>
        </w:rPr>
        <w:t>U</w:t>
      </w:r>
      <w:r w:rsidR="007B0D59" w:rsidRPr="00954913">
        <w:rPr>
          <w:rFonts w:ascii="Calibri" w:hAnsi="Calibri" w:cs="Calibri"/>
          <w:b/>
          <w:bCs/>
          <w:sz w:val="22"/>
          <w:szCs w:val="22"/>
        </w:rPr>
        <w:t>e</w:t>
      </w:r>
      <w:r w:rsidR="006949FD" w:rsidRPr="006949FD">
        <w:rPr>
          <w:rFonts w:ascii="Calibri" w:hAnsi="Calibri" w:cs="Calibri"/>
          <w:sz w:val="22"/>
          <w:szCs w:val="22"/>
        </w:rPr>
        <w:t>, con un’incidenza pari all’</w:t>
      </w:r>
      <w:r w:rsidR="006949FD" w:rsidRPr="00954913">
        <w:rPr>
          <w:rFonts w:ascii="Calibri" w:hAnsi="Calibri" w:cs="Calibri"/>
          <w:b/>
          <w:bCs/>
          <w:sz w:val="22"/>
          <w:szCs w:val="22"/>
        </w:rPr>
        <w:t>80,6%</w:t>
      </w:r>
      <w:r w:rsidR="006949FD" w:rsidRPr="006949FD">
        <w:rPr>
          <w:rFonts w:ascii="Calibri" w:hAnsi="Calibri" w:cs="Calibri"/>
          <w:sz w:val="22"/>
          <w:szCs w:val="22"/>
        </w:rPr>
        <w:t xml:space="preserve"> del totale, presenta una variazione media del +53,3%. </w:t>
      </w:r>
    </w:p>
    <w:p w14:paraId="430936B8" w14:textId="02DEB7D5" w:rsidR="00B70159" w:rsidRDefault="006949FD" w:rsidP="007C50E8">
      <w:pPr>
        <w:jc w:val="both"/>
        <w:rPr>
          <w:rFonts w:ascii="Calibri" w:hAnsi="Calibri" w:cs="Calibri"/>
          <w:sz w:val="22"/>
          <w:szCs w:val="22"/>
        </w:rPr>
      </w:pPr>
      <w:r w:rsidRPr="006949FD">
        <w:rPr>
          <w:rFonts w:ascii="Calibri" w:hAnsi="Calibri" w:cs="Calibri"/>
          <w:sz w:val="22"/>
          <w:szCs w:val="22"/>
        </w:rPr>
        <w:t>Sulla performance dell’area extra</w:t>
      </w:r>
      <w:r w:rsidR="007B0D59">
        <w:rPr>
          <w:rFonts w:ascii="Calibri" w:hAnsi="Calibri" w:cs="Calibri"/>
          <w:sz w:val="22"/>
          <w:szCs w:val="22"/>
        </w:rPr>
        <w:t xml:space="preserve"> </w:t>
      </w:r>
      <w:r w:rsidRPr="006949FD">
        <w:rPr>
          <w:rFonts w:ascii="Calibri" w:hAnsi="Calibri" w:cs="Calibri"/>
          <w:sz w:val="22"/>
          <w:szCs w:val="22"/>
        </w:rPr>
        <w:t>U</w:t>
      </w:r>
      <w:r w:rsidR="007B0D59">
        <w:rPr>
          <w:rFonts w:ascii="Calibri" w:hAnsi="Calibri" w:cs="Calibri"/>
          <w:sz w:val="22"/>
          <w:szCs w:val="22"/>
        </w:rPr>
        <w:t>e</w:t>
      </w:r>
      <w:r w:rsidRPr="006949FD">
        <w:rPr>
          <w:rFonts w:ascii="Calibri" w:hAnsi="Calibri" w:cs="Calibri"/>
          <w:sz w:val="22"/>
          <w:szCs w:val="22"/>
        </w:rPr>
        <w:t xml:space="preserve">, incide in maniera decisiva proprio la </w:t>
      </w:r>
      <w:r w:rsidRPr="00954913">
        <w:rPr>
          <w:rFonts w:ascii="Calibri" w:hAnsi="Calibri" w:cs="Calibri"/>
          <w:b/>
          <w:bCs/>
          <w:sz w:val="22"/>
          <w:szCs w:val="22"/>
        </w:rPr>
        <w:t>Turchia</w:t>
      </w:r>
      <w:r w:rsidRPr="006949FD">
        <w:rPr>
          <w:rFonts w:ascii="Calibri" w:hAnsi="Calibri" w:cs="Calibri"/>
          <w:sz w:val="22"/>
          <w:szCs w:val="22"/>
        </w:rPr>
        <w:t>.</w:t>
      </w:r>
      <w:r w:rsidR="007B0D59">
        <w:rPr>
          <w:rFonts w:ascii="Calibri" w:hAnsi="Calibri" w:cs="Calibri"/>
          <w:sz w:val="22"/>
          <w:szCs w:val="22"/>
        </w:rPr>
        <w:t xml:space="preserve"> Ankara è s</w:t>
      </w:r>
      <w:r w:rsidRPr="006949FD">
        <w:rPr>
          <w:rFonts w:ascii="Calibri" w:hAnsi="Calibri" w:cs="Calibri"/>
          <w:sz w:val="22"/>
          <w:szCs w:val="22"/>
        </w:rPr>
        <w:t xml:space="preserve">alita dal quinto </w:t>
      </w:r>
      <w:r w:rsidR="007B0D59">
        <w:rPr>
          <w:rFonts w:ascii="Calibri" w:hAnsi="Calibri" w:cs="Calibri"/>
          <w:sz w:val="22"/>
          <w:szCs w:val="22"/>
        </w:rPr>
        <w:t xml:space="preserve">posto del </w:t>
      </w:r>
      <w:r w:rsidRPr="006949FD">
        <w:rPr>
          <w:rFonts w:ascii="Calibri" w:hAnsi="Calibri" w:cs="Calibri"/>
          <w:sz w:val="22"/>
          <w:szCs w:val="22"/>
        </w:rPr>
        <w:t xml:space="preserve">ranking </w:t>
      </w:r>
      <w:r w:rsidR="007B0D59">
        <w:rPr>
          <w:rFonts w:ascii="Calibri" w:hAnsi="Calibri" w:cs="Calibri"/>
          <w:sz w:val="22"/>
          <w:szCs w:val="22"/>
        </w:rPr>
        <w:t xml:space="preserve">dei mercati esteri </w:t>
      </w:r>
      <w:r w:rsidRPr="006949FD">
        <w:rPr>
          <w:rFonts w:ascii="Calibri" w:hAnsi="Calibri" w:cs="Calibri"/>
          <w:sz w:val="22"/>
          <w:szCs w:val="22"/>
        </w:rPr>
        <w:t>del</w:t>
      </w:r>
      <w:r w:rsidR="007B0D59">
        <w:rPr>
          <w:rFonts w:ascii="Calibri" w:hAnsi="Calibri" w:cs="Calibri"/>
          <w:sz w:val="22"/>
          <w:szCs w:val="22"/>
        </w:rPr>
        <w:t xml:space="preserve"> </w:t>
      </w:r>
      <w:r w:rsidRPr="006949FD">
        <w:rPr>
          <w:rFonts w:ascii="Calibri" w:hAnsi="Calibri" w:cs="Calibri"/>
          <w:sz w:val="22"/>
          <w:szCs w:val="22"/>
        </w:rPr>
        <w:t xml:space="preserve">2023, </w:t>
      </w:r>
      <w:r w:rsidR="007B0D59">
        <w:rPr>
          <w:rFonts w:ascii="Calibri" w:hAnsi="Calibri" w:cs="Calibri"/>
          <w:sz w:val="22"/>
          <w:szCs w:val="22"/>
        </w:rPr>
        <w:t xml:space="preserve">al primo posto </w:t>
      </w:r>
      <w:r w:rsidR="007238EE">
        <w:rPr>
          <w:rFonts w:ascii="Calibri" w:hAnsi="Calibri" w:cs="Calibri"/>
          <w:sz w:val="22"/>
          <w:szCs w:val="22"/>
        </w:rPr>
        <w:t xml:space="preserve">con </w:t>
      </w:r>
      <w:r w:rsidR="007238EE" w:rsidRPr="007238EE">
        <w:rPr>
          <w:rFonts w:ascii="Calibri" w:hAnsi="Calibri" w:cs="Calibri"/>
          <w:b/>
          <w:bCs/>
          <w:sz w:val="22"/>
          <w:szCs w:val="22"/>
        </w:rPr>
        <w:t>5,3 miliardi</w:t>
      </w:r>
      <w:r w:rsidR="007B0D59">
        <w:rPr>
          <w:rFonts w:ascii="Calibri" w:hAnsi="Calibri" w:cs="Calibri"/>
          <w:sz w:val="22"/>
          <w:szCs w:val="22"/>
        </w:rPr>
        <w:t xml:space="preserve">. La </w:t>
      </w:r>
      <w:r w:rsidRPr="006949FD">
        <w:rPr>
          <w:rFonts w:ascii="Calibri" w:hAnsi="Calibri" w:cs="Calibri"/>
          <w:sz w:val="22"/>
          <w:szCs w:val="22"/>
        </w:rPr>
        <w:t xml:space="preserve">variazione </w:t>
      </w:r>
      <w:r w:rsidR="007B0D59">
        <w:rPr>
          <w:rFonts w:ascii="Calibri" w:hAnsi="Calibri" w:cs="Calibri"/>
          <w:sz w:val="22"/>
          <w:szCs w:val="22"/>
        </w:rPr>
        <w:t xml:space="preserve">annuale è </w:t>
      </w:r>
      <w:r w:rsidRPr="006949FD">
        <w:rPr>
          <w:rFonts w:ascii="Calibri" w:hAnsi="Calibri" w:cs="Calibri"/>
          <w:sz w:val="22"/>
          <w:szCs w:val="22"/>
        </w:rPr>
        <w:t xml:space="preserve">pari al </w:t>
      </w:r>
      <w:r w:rsidRPr="00954913">
        <w:rPr>
          <w:rFonts w:ascii="Calibri" w:hAnsi="Calibri" w:cs="Calibri"/>
          <w:b/>
          <w:bCs/>
          <w:sz w:val="22"/>
          <w:szCs w:val="22"/>
        </w:rPr>
        <w:t>+468,7%</w:t>
      </w:r>
      <w:r w:rsidRPr="006949FD">
        <w:rPr>
          <w:rFonts w:ascii="Calibri" w:hAnsi="Calibri" w:cs="Calibri"/>
          <w:sz w:val="22"/>
          <w:szCs w:val="22"/>
        </w:rPr>
        <w:t xml:space="preserve"> (da ricondurre alla gioielleria da indosso, che segna +470,9%)</w:t>
      </w:r>
      <w:r w:rsidR="007B0D59">
        <w:rPr>
          <w:rFonts w:ascii="Calibri" w:hAnsi="Calibri" w:cs="Calibri"/>
          <w:sz w:val="22"/>
          <w:szCs w:val="22"/>
        </w:rPr>
        <w:t xml:space="preserve">. </w:t>
      </w:r>
      <w:r w:rsidRPr="006949FD">
        <w:rPr>
          <w:rFonts w:ascii="Calibri" w:hAnsi="Calibri" w:cs="Calibri"/>
          <w:sz w:val="22"/>
          <w:szCs w:val="22"/>
        </w:rPr>
        <w:t xml:space="preserve">L’export di O-A-G verso </w:t>
      </w:r>
      <w:r w:rsidR="007B0D59">
        <w:rPr>
          <w:rFonts w:ascii="Calibri" w:hAnsi="Calibri" w:cs="Calibri"/>
          <w:sz w:val="22"/>
          <w:szCs w:val="22"/>
        </w:rPr>
        <w:t xml:space="preserve">la Turchia </w:t>
      </w:r>
      <w:r w:rsidRPr="006949FD">
        <w:rPr>
          <w:rFonts w:ascii="Calibri" w:hAnsi="Calibri" w:cs="Calibri"/>
          <w:sz w:val="22"/>
          <w:szCs w:val="22"/>
        </w:rPr>
        <w:t>evidenzia un aumento di rilievo anche nel caso delle quantità di oreficeria-gioielleria da indosso, cresciute del +149,8% (</w:t>
      </w:r>
      <w:r w:rsidRPr="00954913">
        <w:rPr>
          <w:rFonts w:ascii="Calibri" w:hAnsi="Calibri" w:cs="Calibri"/>
          <w:b/>
          <w:bCs/>
          <w:sz w:val="22"/>
          <w:szCs w:val="22"/>
        </w:rPr>
        <w:t>+61</w:t>
      </w:r>
      <w:r w:rsidR="007B0D59" w:rsidRPr="00954913">
        <w:rPr>
          <w:rFonts w:ascii="Calibri" w:hAnsi="Calibri" w:cs="Calibri"/>
          <w:b/>
          <w:bCs/>
          <w:sz w:val="22"/>
          <w:szCs w:val="22"/>
        </w:rPr>
        <w:t>,</w:t>
      </w:r>
      <w:r w:rsidRPr="00954913">
        <w:rPr>
          <w:rFonts w:ascii="Calibri" w:hAnsi="Calibri" w:cs="Calibri"/>
          <w:b/>
          <w:bCs/>
          <w:sz w:val="22"/>
          <w:szCs w:val="22"/>
        </w:rPr>
        <w:t>6</w:t>
      </w:r>
      <w:r w:rsidR="007B0D59" w:rsidRPr="00954913">
        <w:rPr>
          <w:rFonts w:ascii="Calibri" w:hAnsi="Calibri" w:cs="Calibri"/>
          <w:b/>
          <w:bCs/>
          <w:sz w:val="22"/>
          <w:szCs w:val="22"/>
        </w:rPr>
        <w:t xml:space="preserve"> ton</w:t>
      </w:r>
      <w:r w:rsidRPr="006949FD">
        <w:rPr>
          <w:rFonts w:ascii="Calibri" w:hAnsi="Calibri" w:cs="Calibri"/>
          <w:sz w:val="22"/>
          <w:szCs w:val="22"/>
        </w:rPr>
        <w:t>) rispetto al 2023.</w:t>
      </w:r>
    </w:p>
    <w:p w14:paraId="2F628AFE" w14:textId="77777777" w:rsidR="00B70159" w:rsidRDefault="00B70159" w:rsidP="007C50E8">
      <w:pPr>
        <w:jc w:val="both"/>
        <w:rPr>
          <w:rFonts w:ascii="Calibri" w:hAnsi="Calibri" w:cs="Calibri"/>
          <w:sz w:val="22"/>
          <w:szCs w:val="22"/>
        </w:rPr>
      </w:pPr>
    </w:p>
    <w:p w14:paraId="73CC1A61" w14:textId="3F5E2E74" w:rsidR="00B70159" w:rsidRPr="007238EE" w:rsidRDefault="007238EE" w:rsidP="007C50E8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7238EE">
        <w:rPr>
          <w:rFonts w:ascii="Calibri" w:hAnsi="Calibri" w:cs="Calibri"/>
          <w:b/>
          <w:bCs/>
          <w:sz w:val="22"/>
          <w:szCs w:val="22"/>
        </w:rPr>
        <w:t>I PRINCIPALI MERCATI DELL’OREFICERIA E GIOIELLERIA MADE IN ITALY</w:t>
      </w:r>
    </w:p>
    <w:p w14:paraId="0904BA59" w14:textId="3D2B8671" w:rsidR="005F0A15" w:rsidRDefault="007238EE" w:rsidP="008958FB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Alla performance della Turchia, nella Top 5 dei mercati esteri, seguono: </w:t>
      </w:r>
      <w:r w:rsidRPr="007238EE">
        <w:rPr>
          <w:rFonts w:ascii="Calibri" w:hAnsi="Calibri" w:cs="Calibri"/>
          <w:sz w:val="22"/>
          <w:szCs w:val="22"/>
        </w:rPr>
        <w:t xml:space="preserve">gli </w:t>
      </w:r>
      <w:r w:rsidRPr="007238EE">
        <w:rPr>
          <w:rFonts w:ascii="Calibri" w:hAnsi="Calibri" w:cs="Calibri"/>
          <w:b/>
          <w:bCs/>
          <w:sz w:val="22"/>
          <w:szCs w:val="22"/>
        </w:rPr>
        <w:t>Stati Uniti</w:t>
      </w:r>
      <w:r w:rsidRPr="007238E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con </w:t>
      </w:r>
      <w:r w:rsidRPr="007238EE">
        <w:rPr>
          <w:rFonts w:ascii="Calibri" w:hAnsi="Calibri" w:cs="Calibri"/>
          <w:sz w:val="22"/>
          <w:szCs w:val="22"/>
        </w:rPr>
        <w:t xml:space="preserve">1,399 mld </w:t>
      </w:r>
      <w:r>
        <w:rPr>
          <w:rFonts w:ascii="Calibri" w:hAnsi="Calibri" w:cs="Calibri"/>
          <w:sz w:val="22"/>
          <w:szCs w:val="22"/>
        </w:rPr>
        <w:t xml:space="preserve">di esportazioni </w:t>
      </w:r>
      <w:r w:rsidRPr="007238EE">
        <w:rPr>
          <w:rFonts w:ascii="Calibri" w:hAnsi="Calibri" w:cs="Calibri"/>
          <w:sz w:val="22"/>
          <w:szCs w:val="22"/>
        </w:rPr>
        <w:t xml:space="preserve">(-6,6%). In terza posizione si colloca la </w:t>
      </w:r>
      <w:r w:rsidRPr="00C370AD">
        <w:rPr>
          <w:rFonts w:ascii="Calibri" w:hAnsi="Calibri" w:cs="Calibri"/>
          <w:b/>
          <w:bCs/>
          <w:sz w:val="22"/>
          <w:szCs w:val="22"/>
        </w:rPr>
        <w:t>Svizzera</w:t>
      </w:r>
      <w:r w:rsidRPr="007238EE">
        <w:rPr>
          <w:rFonts w:ascii="Calibri" w:hAnsi="Calibri" w:cs="Calibri"/>
          <w:sz w:val="22"/>
          <w:szCs w:val="22"/>
        </w:rPr>
        <w:t xml:space="preserve"> 1,280 mld (-15%) e a seguire </w:t>
      </w:r>
      <w:r w:rsidRPr="00C370AD">
        <w:rPr>
          <w:rFonts w:ascii="Calibri" w:hAnsi="Calibri" w:cs="Calibri"/>
          <w:b/>
          <w:bCs/>
          <w:sz w:val="22"/>
          <w:szCs w:val="22"/>
        </w:rPr>
        <w:t>Emirati Arabi Uniti</w:t>
      </w:r>
      <w:r w:rsidRPr="007238EE">
        <w:rPr>
          <w:rFonts w:ascii="Calibri" w:hAnsi="Calibri" w:cs="Calibri"/>
          <w:sz w:val="22"/>
          <w:szCs w:val="22"/>
        </w:rPr>
        <w:t xml:space="preserve"> 1,239 mld (+10,6%), davanti alla </w:t>
      </w:r>
      <w:r w:rsidRPr="00C370AD">
        <w:rPr>
          <w:rFonts w:ascii="Calibri" w:hAnsi="Calibri" w:cs="Calibri"/>
          <w:b/>
          <w:bCs/>
          <w:sz w:val="22"/>
          <w:szCs w:val="22"/>
        </w:rPr>
        <w:t>Francia</w:t>
      </w:r>
      <w:r w:rsidRPr="007238EE">
        <w:rPr>
          <w:rFonts w:ascii="Calibri" w:hAnsi="Calibri" w:cs="Calibri"/>
          <w:sz w:val="22"/>
          <w:szCs w:val="22"/>
        </w:rPr>
        <w:t xml:space="preserve"> 1,073 mld (+0,3%).</w:t>
      </w:r>
    </w:p>
    <w:p w14:paraId="014137BB" w14:textId="77777777" w:rsidR="008958FB" w:rsidRPr="008958FB" w:rsidRDefault="008958FB" w:rsidP="008958FB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487C051" w14:textId="7E990285" w:rsidR="007C50E8" w:rsidRDefault="007C50E8" w:rsidP="007C50E8">
      <w:pPr>
        <w:pStyle w:val="Corpotesto"/>
        <w:ind w:left="29"/>
        <w:rPr>
          <w:sz w:val="20"/>
        </w:rPr>
      </w:pPr>
    </w:p>
    <w:p w14:paraId="293DD9E1" w14:textId="77777777" w:rsidR="007C50E8" w:rsidRPr="004E6FAF" w:rsidRDefault="007C50E8" w:rsidP="007C50E8">
      <w:pPr>
        <w:ind w:left="27"/>
        <w:jc w:val="both"/>
        <w:rPr>
          <w:rFonts w:cstheme="minorHAnsi"/>
          <w:b/>
          <w:sz w:val="20"/>
        </w:rPr>
      </w:pPr>
      <w:r w:rsidRPr="004E6FAF">
        <w:rPr>
          <w:rFonts w:cstheme="minorHAnsi"/>
          <w:b/>
          <w:sz w:val="20"/>
        </w:rPr>
        <w:t>PRESS</w:t>
      </w:r>
      <w:r w:rsidRPr="004E6FAF">
        <w:rPr>
          <w:rFonts w:cstheme="minorHAnsi"/>
          <w:b/>
          <w:spacing w:val="-17"/>
          <w:sz w:val="20"/>
        </w:rPr>
        <w:t xml:space="preserve"> </w:t>
      </w:r>
      <w:r w:rsidRPr="004E6FAF">
        <w:rPr>
          <w:rFonts w:cstheme="minorHAnsi"/>
          <w:b/>
          <w:sz w:val="20"/>
        </w:rPr>
        <w:t>CONTACT</w:t>
      </w:r>
      <w:r w:rsidRPr="004E6FAF">
        <w:rPr>
          <w:rFonts w:cstheme="minorHAnsi"/>
          <w:b/>
          <w:spacing w:val="-20"/>
          <w:sz w:val="20"/>
        </w:rPr>
        <w:t xml:space="preserve"> </w:t>
      </w:r>
      <w:r w:rsidRPr="004E6FAF">
        <w:rPr>
          <w:rFonts w:cstheme="minorHAnsi"/>
          <w:b/>
          <w:sz w:val="20"/>
        </w:rPr>
        <w:t>IEG</w:t>
      </w:r>
      <w:r w:rsidRPr="004E6FAF">
        <w:rPr>
          <w:rFonts w:cstheme="minorHAnsi"/>
          <w:b/>
          <w:spacing w:val="-15"/>
          <w:sz w:val="20"/>
        </w:rPr>
        <w:t xml:space="preserve"> </w:t>
      </w:r>
      <w:r w:rsidRPr="004E6FAF">
        <w:rPr>
          <w:rFonts w:cstheme="minorHAnsi"/>
          <w:b/>
          <w:sz w:val="20"/>
        </w:rPr>
        <w:t>/</w:t>
      </w:r>
      <w:r w:rsidRPr="004E6FAF">
        <w:rPr>
          <w:rFonts w:cstheme="minorHAnsi"/>
          <w:b/>
          <w:spacing w:val="-18"/>
          <w:sz w:val="20"/>
        </w:rPr>
        <w:t xml:space="preserve"> </w:t>
      </w:r>
      <w:r w:rsidRPr="004E6FAF">
        <w:rPr>
          <w:rFonts w:cstheme="minorHAnsi"/>
          <w:b/>
          <w:sz w:val="20"/>
        </w:rPr>
        <w:t>OROAREZZO</w:t>
      </w:r>
      <w:r w:rsidRPr="004E6FAF">
        <w:rPr>
          <w:rFonts w:cstheme="minorHAnsi"/>
          <w:b/>
          <w:spacing w:val="-19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2025:</w:t>
      </w:r>
    </w:p>
    <w:p w14:paraId="44DC47A2" w14:textId="77777777" w:rsidR="007C50E8" w:rsidRPr="004E6FAF" w:rsidRDefault="007C50E8" w:rsidP="007C50E8">
      <w:pPr>
        <w:spacing w:before="12" w:line="252" w:lineRule="auto"/>
        <w:ind w:left="27" w:right="27"/>
        <w:jc w:val="both"/>
        <w:rPr>
          <w:rFonts w:cstheme="minorHAnsi"/>
          <w:sz w:val="20"/>
        </w:rPr>
      </w:pPr>
      <w:r w:rsidRPr="004E6FAF">
        <w:rPr>
          <w:rFonts w:cstheme="minorHAnsi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6714214" wp14:editId="0200D296">
                <wp:simplePos x="0" y="0"/>
                <wp:positionH relativeFrom="page">
                  <wp:posOffset>3745103</wp:posOffset>
                </wp:positionH>
                <wp:positionV relativeFrom="paragraph">
                  <wp:posOffset>444266</wp:posOffset>
                </wp:positionV>
                <wp:extent cx="36830" cy="317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175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6575" y="3048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427830" id="Graphic 3" o:spid="_x0000_s1026" style="position:absolute;margin-left:294.9pt;margin-top:35pt;width:2.9pt;height:.2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" path="m36575,l,,,3048r36575,l36575,xe" fillcolor="blue" stroked="f">
                <v:path arrowok="t"/>
                <w10:wrap anchorx="page"/>
              </v:shape>
            </w:pict>
          </mc:Fallback>
        </mc:AlternateContent>
      </w:r>
      <w:r w:rsidRPr="004E6FAF">
        <w:rPr>
          <w:rFonts w:cstheme="minorHAnsi"/>
          <w:b/>
          <w:spacing w:val="-6"/>
          <w:sz w:val="20"/>
        </w:rPr>
        <w:t>head of media relations</w:t>
      </w:r>
      <w:r w:rsidRPr="004E6FAF">
        <w:rPr>
          <w:rFonts w:cstheme="minorHAnsi"/>
          <w:b/>
          <w:spacing w:val="-7"/>
          <w:sz w:val="20"/>
        </w:rPr>
        <w:t xml:space="preserve"> </w:t>
      </w:r>
      <w:r w:rsidRPr="004E6FAF">
        <w:rPr>
          <w:rFonts w:cstheme="minorHAnsi"/>
          <w:b/>
          <w:spacing w:val="-6"/>
          <w:sz w:val="20"/>
        </w:rPr>
        <w:t>corporate</w:t>
      </w:r>
      <w:r w:rsidRPr="004E6FAF">
        <w:rPr>
          <w:rFonts w:cstheme="minorHAnsi"/>
          <w:b/>
          <w:sz w:val="20"/>
        </w:rPr>
        <w:t xml:space="preserve"> </w:t>
      </w:r>
      <w:proofErr w:type="spellStart"/>
      <w:r w:rsidRPr="004E6FAF">
        <w:rPr>
          <w:rFonts w:cstheme="minorHAnsi"/>
          <w:b/>
          <w:spacing w:val="-6"/>
          <w:sz w:val="20"/>
        </w:rPr>
        <w:t>communication</w:t>
      </w:r>
      <w:proofErr w:type="spellEnd"/>
      <w:r w:rsidRPr="004E6FAF">
        <w:rPr>
          <w:rFonts w:cstheme="minorHAnsi"/>
          <w:spacing w:val="-6"/>
          <w:sz w:val="20"/>
        </w:rPr>
        <w:t xml:space="preserve">: Elisabetta Vitali; </w:t>
      </w:r>
      <w:r w:rsidRPr="004E6FAF">
        <w:rPr>
          <w:rFonts w:cstheme="minorHAnsi"/>
          <w:b/>
          <w:spacing w:val="-6"/>
          <w:sz w:val="20"/>
        </w:rPr>
        <w:t>press office manager</w:t>
      </w:r>
      <w:r w:rsidRPr="004E6FAF">
        <w:rPr>
          <w:rFonts w:cstheme="minorHAnsi"/>
          <w:spacing w:val="-6"/>
          <w:sz w:val="20"/>
        </w:rPr>
        <w:t>: Marco</w:t>
      </w:r>
      <w:r w:rsidRPr="004E6FAF">
        <w:rPr>
          <w:rFonts w:cstheme="minorHAnsi"/>
          <w:sz w:val="20"/>
        </w:rPr>
        <w:t xml:space="preserve"> </w:t>
      </w:r>
      <w:r w:rsidRPr="004E6FAF">
        <w:rPr>
          <w:rFonts w:cstheme="minorHAnsi"/>
          <w:spacing w:val="-6"/>
          <w:sz w:val="20"/>
        </w:rPr>
        <w:t>Forcellini,</w:t>
      </w:r>
      <w:r w:rsidRPr="004E6FAF">
        <w:rPr>
          <w:rFonts w:cstheme="minorHAnsi"/>
          <w:spacing w:val="12"/>
          <w:sz w:val="20"/>
        </w:rPr>
        <w:t xml:space="preserve"> </w:t>
      </w:r>
      <w:r w:rsidRPr="004E6FAF">
        <w:rPr>
          <w:rFonts w:cstheme="minorHAnsi"/>
          <w:spacing w:val="-6"/>
          <w:sz w:val="20"/>
        </w:rPr>
        <w:t xml:space="preserve">Pier </w:t>
      </w:r>
      <w:r w:rsidRPr="004E6FAF">
        <w:rPr>
          <w:rFonts w:cstheme="minorHAnsi"/>
          <w:spacing w:val="-2"/>
          <w:sz w:val="20"/>
        </w:rPr>
        <w:t>Francesco</w:t>
      </w:r>
      <w:r w:rsidRPr="004E6FAF">
        <w:rPr>
          <w:rFonts w:cstheme="minorHAnsi"/>
          <w:spacing w:val="-10"/>
          <w:sz w:val="20"/>
        </w:rPr>
        <w:t xml:space="preserve"> </w:t>
      </w:r>
      <w:r w:rsidRPr="004E6FAF">
        <w:rPr>
          <w:rFonts w:cstheme="minorHAnsi"/>
          <w:spacing w:val="-2"/>
          <w:sz w:val="20"/>
        </w:rPr>
        <w:t>Bellini;</w:t>
      </w:r>
      <w:r w:rsidRPr="004E6FAF">
        <w:rPr>
          <w:rFonts w:cstheme="minorHAnsi"/>
          <w:spacing w:val="-5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press</w:t>
      </w:r>
      <w:r w:rsidRPr="004E6FAF">
        <w:rPr>
          <w:rFonts w:cstheme="minorHAnsi"/>
          <w:b/>
          <w:spacing w:val="-9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office</w:t>
      </w:r>
      <w:r w:rsidRPr="004E6FAF">
        <w:rPr>
          <w:rFonts w:cstheme="minorHAnsi"/>
          <w:b/>
          <w:spacing w:val="-6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coordinator</w:t>
      </w:r>
      <w:r w:rsidRPr="004E6FAF">
        <w:rPr>
          <w:rFonts w:cstheme="minorHAnsi"/>
          <w:spacing w:val="-2"/>
          <w:sz w:val="20"/>
        </w:rPr>
        <w:t>:</w:t>
      </w:r>
      <w:r w:rsidRPr="004E6FAF">
        <w:rPr>
          <w:rFonts w:cstheme="minorHAnsi"/>
          <w:spacing w:val="-6"/>
          <w:sz w:val="20"/>
        </w:rPr>
        <w:t xml:space="preserve"> </w:t>
      </w:r>
      <w:r w:rsidRPr="004E6FAF">
        <w:rPr>
          <w:rFonts w:cstheme="minorHAnsi"/>
          <w:spacing w:val="-2"/>
          <w:sz w:val="20"/>
        </w:rPr>
        <w:t>Luca</w:t>
      </w:r>
      <w:r w:rsidRPr="004E6FAF">
        <w:rPr>
          <w:rFonts w:cstheme="minorHAnsi"/>
          <w:spacing w:val="-6"/>
          <w:sz w:val="20"/>
        </w:rPr>
        <w:t xml:space="preserve"> </w:t>
      </w:r>
      <w:r w:rsidRPr="004E6FAF">
        <w:rPr>
          <w:rFonts w:cstheme="minorHAnsi"/>
          <w:spacing w:val="-2"/>
          <w:sz w:val="20"/>
        </w:rPr>
        <w:t>Paganin;</w:t>
      </w:r>
      <w:r w:rsidRPr="004E6FAF">
        <w:rPr>
          <w:rFonts w:cstheme="minorHAnsi"/>
          <w:spacing w:val="-14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international</w:t>
      </w:r>
      <w:r w:rsidRPr="004E6FAF">
        <w:rPr>
          <w:rFonts w:cstheme="minorHAnsi"/>
          <w:b/>
          <w:spacing w:val="-13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press</w:t>
      </w:r>
      <w:r w:rsidRPr="004E6FAF">
        <w:rPr>
          <w:rFonts w:cstheme="minorHAnsi"/>
          <w:b/>
          <w:spacing w:val="-5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office</w:t>
      </w:r>
      <w:r w:rsidRPr="004E6FAF">
        <w:rPr>
          <w:rFonts w:cstheme="minorHAnsi"/>
          <w:b/>
          <w:spacing w:val="-6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coordinator</w:t>
      </w:r>
      <w:r w:rsidRPr="004E6FAF">
        <w:rPr>
          <w:rFonts w:cstheme="minorHAnsi"/>
          <w:spacing w:val="-2"/>
          <w:sz w:val="20"/>
        </w:rPr>
        <w:t>:</w:t>
      </w:r>
      <w:r w:rsidRPr="004E6FAF">
        <w:rPr>
          <w:rFonts w:cstheme="minorHAnsi"/>
          <w:spacing w:val="-6"/>
          <w:sz w:val="20"/>
        </w:rPr>
        <w:t xml:space="preserve"> </w:t>
      </w:r>
      <w:r w:rsidRPr="004E6FAF">
        <w:rPr>
          <w:rFonts w:cstheme="minorHAnsi"/>
          <w:spacing w:val="-2"/>
          <w:sz w:val="20"/>
        </w:rPr>
        <w:t>Silvia</w:t>
      </w:r>
      <w:r w:rsidRPr="004E6FAF">
        <w:rPr>
          <w:rFonts w:cstheme="minorHAnsi"/>
          <w:spacing w:val="-6"/>
          <w:sz w:val="20"/>
        </w:rPr>
        <w:t xml:space="preserve"> </w:t>
      </w:r>
      <w:r w:rsidRPr="004E6FAF">
        <w:rPr>
          <w:rFonts w:cstheme="minorHAnsi"/>
          <w:spacing w:val="-2"/>
          <w:sz w:val="20"/>
        </w:rPr>
        <w:t xml:space="preserve">Giorgi; </w:t>
      </w:r>
      <w:r w:rsidRPr="004E6FAF">
        <w:rPr>
          <w:rFonts w:cstheme="minorHAnsi"/>
          <w:b/>
          <w:sz w:val="20"/>
        </w:rPr>
        <w:t>press</w:t>
      </w:r>
      <w:r w:rsidRPr="004E6FAF">
        <w:rPr>
          <w:rFonts w:cstheme="minorHAnsi"/>
          <w:b/>
          <w:spacing w:val="-16"/>
          <w:sz w:val="20"/>
        </w:rPr>
        <w:t xml:space="preserve"> </w:t>
      </w:r>
      <w:r w:rsidRPr="004E6FAF">
        <w:rPr>
          <w:rFonts w:cstheme="minorHAnsi"/>
          <w:b/>
          <w:sz w:val="20"/>
        </w:rPr>
        <w:t>office</w:t>
      </w:r>
      <w:r w:rsidRPr="004E6FAF">
        <w:rPr>
          <w:rFonts w:cstheme="minorHAnsi"/>
          <w:b/>
          <w:spacing w:val="-16"/>
          <w:sz w:val="20"/>
        </w:rPr>
        <w:t xml:space="preserve"> </w:t>
      </w:r>
      <w:proofErr w:type="spellStart"/>
      <w:r w:rsidRPr="004E6FAF">
        <w:rPr>
          <w:rFonts w:cstheme="minorHAnsi"/>
          <w:b/>
          <w:sz w:val="20"/>
        </w:rPr>
        <w:t>specialist</w:t>
      </w:r>
      <w:proofErr w:type="spellEnd"/>
      <w:r w:rsidRPr="004E6FAF">
        <w:rPr>
          <w:rFonts w:cstheme="minorHAnsi"/>
          <w:sz w:val="20"/>
        </w:rPr>
        <w:t>:</w:t>
      </w:r>
      <w:r w:rsidRPr="004E6FAF">
        <w:rPr>
          <w:rFonts w:cstheme="minorHAnsi"/>
          <w:spacing w:val="-16"/>
          <w:sz w:val="20"/>
        </w:rPr>
        <w:t xml:space="preserve"> </w:t>
      </w:r>
      <w:r w:rsidRPr="004E6FAF">
        <w:rPr>
          <w:rFonts w:cstheme="minorHAnsi"/>
          <w:sz w:val="20"/>
        </w:rPr>
        <w:t>Mirko</w:t>
      </w:r>
      <w:r w:rsidRPr="004E6FAF">
        <w:rPr>
          <w:rFonts w:cstheme="minorHAnsi"/>
          <w:spacing w:val="-16"/>
          <w:sz w:val="20"/>
        </w:rPr>
        <w:t xml:space="preserve"> </w:t>
      </w:r>
      <w:r w:rsidRPr="004E6FAF">
        <w:rPr>
          <w:rFonts w:cstheme="minorHAnsi"/>
          <w:sz w:val="20"/>
        </w:rPr>
        <w:t>Malgieri</w:t>
      </w:r>
      <w:r w:rsidRPr="004E6FAF">
        <w:rPr>
          <w:rFonts w:cstheme="minorHAnsi"/>
          <w:spacing w:val="-13"/>
          <w:sz w:val="20"/>
        </w:rPr>
        <w:t xml:space="preserve"> </w:t>
      </w:r>
      <w:hyperlink r:id="rId8">
        <w:r w:rsidRPr="004E6FAF">
          <w:rPr>
            <w:rFonts w:cstheme="minorHAnsi"/>
            <w:color w:val="467885"/>
            <w:sz w:val="20"/>
            <w:u w:val="single" w:color="467885"/>
          </w:rPr>
          <w:t>media@iegexpo.it</w:t>
        </w:r>
        <w:r w:rsidRPr="004E6FAF">
          <w:rPr>
            <w:rFonts w:cstheme="minorHAnsi"/>
            <w:color w:val="0000FF"/>
            <w:sz w:val="20"/>
          </w:rPr>
          <w:t>;</w:t>
        </w:r>
      </w:hyperlink>
    </w:p>
    <w:p w14:paraId="51B4E2D9" w14:textId="77777777" w:rsidR="007C50E8" w:rsidRPr="004E6FAF" w:rsidRDefault="007C50E8" w:rsidP="007C50E8">
      <w:pPr>
        <w:pStyle w:val="Corpotesto"/>
        <w:spacing w:before="13"/>
        <w:rPr>
          <w:rFonts w:asciiTheme="minorHAnsi" w:hAnsiTheme="minorHAnsi" w:cstheme="minorHAnsi"/>
          <w:sz w:val="20"/>
        </w:rPr>
      </w:pPr>
    </w:p>
    <w:p w14:paraId="236F863C" w14:textId="77777777" w:rsidR="007C50E8" w:rsidRPr="004E6FAF" w:rsidRDefault="007C50E8" w:rsidP="007C50E8">
      <w:pPr>
        <w:ind w:left="27"/>
        <w:rPr>
          <w:rFonts w:cstheme="minorHAnsi"/>
          <w:b/>
          <w:sz w:val="20"/>
        </w:rPr>
      </w:pPr>
      <w:r w:rsidRPr="004E6FAF">
        <w:rPr>
          <w:rFonts w:cstheme="minorHAnsi"/>
          <w:b/>
          <w:spacing w:val="-2"/>
          <w:sz w:val="20"/>
        </w:rPr>
        <w:t>MEDIA</w:t>
      </w:r>
      <w:r w:rsidRPr="004E6FAF">
        <w:rPr>
          <w:rFonts w:cstheme="minorHAnsi"/>
          <w:b/>
          <w:spacing w:val="-23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AGENCY</w:t>
      </w:r>
      <w:r w:rsidRPr="004E6FAF">
        <w:rPr>
          <w:rFonts w:cstheme="minorHAnsi"/>
          <w:b/>
          <w:spacing w:val="-11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OROAREZZO</w:t>
      </w:r>
      <w:r w:rsidRPr="004E6FAF">
        <w:rPr>
          <w:rFonts w:cstheme="minorHAnsi"/>
          <w:b/>
          <w:spacing w:val="-14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2025:</w:t>
      </w:r>
      <w:r w:rsidRPr="004E6FAF">
        <w:rPr>
          <w:rFonts w:cstheme="minorHAnsi"/>
          <w:b/>
          <w:spacing w:val="-13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Adnkronos</w:t>
      </w:r>
      <w:r w:rsidRPr="004E6FAF">
        <w:rPr>
          <w:rFonts w:cstheme="minorHAnsi"/>
          <w:b/>
          <w:spacing w:val="-13"/>
          <w:sz w:val="20"/>
        </w:rPr>
        <w:t xml:space="preserve"> </w:t>
      </w:r>
      <w:r w:rsidRPr="004E6FAF">
        <w:rPr>
          <w:rFonts w:cstheme="minorHAnsi"/>
          <w:b/>
          <w:spacing w:val="-2"/>
          <w:sz w:val="20"/>
        </w:rPr>
        <w:t>Comunicazione</w:t>
      </w:r>
    </w:p>
    <w:p w14:paraId="087D78C0" w14:textId="77777777" w:rsidR="007C50E8" w:rsidRPr="008958FB" w:rsidRDefault="007C50E8" w:rsidP="007C50E8">
      <w:pPr>
        <w:spacing w:before="11"/>
        <w:ind w:left="27"/>
        <w:rPr>
          <w:rFonts w:cstheme="minorHAnsi"/>
          <w:sz w:val="20"/>
          <w:szCs w:val="20"/>
        </w:rPr>
      </w:pPr>
      <w:r w:rsidRPr="008958FB">
        <w:rPr>
          <w:rFonts w:cstheme="minorHAnsi"/>
          <w:spacing w:val="-4"/>
          <w:sz w:val="20"/>
          <w:szCs w:val="20"/>
        </w:rPr>
        <w:t>Enrico</w:t>
      </w:r>
      <w:r w:rsidRPr="008958FB">
        <w:rPr>
          <w:rFonts w:cstheme="minorHAnsi"/>
          <w:spacing w:val="-17"/>
          <w:sz w:val="20"/>
          <w:szCs w:val="20"/>
        </w:rPr>
        <w:t xml:space="preserve"> </w:t>
      </w:r>
      <w:r w:rsidRPr="008958FB">
        <w:rPr>
          <w:rFonts w:cstheme="minorHAnsi"/>
          <w:spacing w:val="-4"/>
          <w:sz w:val="20"/>
          <w:szCs w:val="20"/>
        </w:rPr>
        <w:t>Bellinelli:</w:t>
      </w:r>
      <w:r w:rsidRPr="008958FB">
        <w:rPr>
          <w:rFonts w:cstheme="minorHAnsi"/>
          <w:spacing w:val="-17"/>
          <w:sz w:val="20"/>
          <w:szCs w:val="20"/>
        </w:rPr>
        <w:t xml:space="preserve"> </w:t>
      </w:r>
      <w:r w:rsidRPr="008958FB">
        <w:rPr>
          <w:rFonts w:cstheme="minorHAnsi"/>
          <w:spacing w:val="-4"/>
          <w:sz w:val="20"/>
          <w:szCs w:val="20"/>
        </w:rPr>
        <w:t>334</w:t>
      </w:r>
      <w:r w:rsidRPr="008958FB">
        <w:rPr>
          <w:rFonts w:cstheme="minorHAnsi"/>
          <w:spacing w:val="-18"/>
          <w:sz w:val="20"/>
          <w:szCs w:val="20"/>
        </w:rPr>
        <w:t xml:space="preserve"> </w:t>
      </w:r>
      <w:r w:rsidRPr="008958FB">
        <w:rPr>
          <w:rFonts w:cstheme="minorHAnsi"/>
          <w:spacing w:val="-4"/>
          <w:sz w:val="20"/>
          <w:szCs w:val="20"/>
        </w:rPr>
        <w:t>5717790,</w:t>
      </w:r>
      <w:r w:rsidRPr="008958FB">
        <w:rPr>
          <w:rFonts w:cstheme="minorHAnsi"/>
          <w:spacing w:val="-13"/>
          <w:sz w:val="20"/>
          <w:szCs w:val="20"/>
        </w:rPr>
        <w:t xml:space="preserve"> </w:t>
      </w:r>
      <w:hyperlink r:id="rId9" w:history="1">
        <w:r w:rsidRPr="008958FB">
          <w:rPr>
            <w:rStyle w:val="Collegamentoipertestuale"/>
            <w:rFonts w:cstheme="minorHAnsi"/>
            <w:sz w:val="20"/>
            <w:szCs w:val="20"/>
          </w:rPr>
          <w:t>enrico.bellinelli.professional@adnkronos.com</w:t>
        </w:r>
      </w:hyperlink>
    </w:p>
    <w:p w14:paraId="508E2621" w14:textId="77777777" w:rsidR="007C50E8" w:rsidRPr="008958FB" w:rsidRDefault="007C50E8" w:rsidP="007C50E8">
      <w:pPr>
        <w:spacing w:before="11"/>
        <w:ind w:left="27"/>
        <w:rPr>
          <w:rFonts w:cstheme="minorHAnsi"/>
          <w:sz w:val="20"/>
          <w:szCs w:val="20"/>
        </w:rPr>
      </w:pPr>
      <w:r w:rsidRPr="008958FB">
        <w:rPr>
          <w:rFonts w:cstheme="minorHAnsi"/>
          <w:sz w:val="20"/>
          <w:szCs w:val="20"/>
        </w:rPr>
        <w:t xml:space="preserve">Enrica Marrese: 320 8074750, </w:t>
      </w:r>
      <w:hyperlink r:id="rId10" w:history="1">
        <w:r w:rsidRPr="008958FB">
          <w:rPr>
            <w:rStyle w:val="Collegamentoipertestuale"/>
            <w:rFonts w:cstheme="minorHAnsi"/>
            <w:sz w:val="20"/>
            <w:szCs w:val="20"/>
          </w:rPr>
          <w:t>enrica.marrese@adnkronos.com</w:t>
        </w:r>
      </w:hyperlink>
    </w:p>
    <w:p w14:paraId="7859ABA8" w14:textId="77C1CFF0" w:rsidR="007C50E8" w:rsidRPr="00AD679B" w:rsidRDefault="008958FB" w:rsidP="007C50E8">
      <w:pPr>
        <w:spacing w:before="11"/>
        <w:ind w:left="27"/>
        <w:rPr>
          <w:rFonts w:cstheme="minorHAnsi"/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6153236B" wp14:editId="4D82BC2D">
            <wp:extent cx="5996179" cy="1923669"/>
            <wp:effectExtent l="0" t="0" r="0" b="0"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6179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B4CE9" w14:textId="77777777" w:rsidR="007C50E8" w:rsidRPr="004E6FAF" w:rsidRDefault="007C50E8" w:rsidP="007C50E8">
      <w:pPr>
        <w:pStyle w:val="Corpotesto"/>
        <w:spacing w:before="79"/>
        <w:rPr>
          <w:rFonts w:asciiTheme="minorHAnsi" w:hAnsiTheme="minorHAnsi" w:cstheme="minorHAnsi"/>
          <w:sz w:val="16"/>
        </w:rPr>
      </w:pPr>
    </w:p>
    <w:p w14:paraId="69624A4D" w14:textId="77777777" w:rsidR="007C50E8" w:rsidRPr="004E6FAF" w:rsidRDefault="007C50E8" w:rsidP="007C50E8">
      <w:pPr>
        <w:spacing w:line="252" w:lineRule="auto"/>
        <w:ind w:left="27" w:right="23"/>
        <w:jc w:val="both"/>
        <w:rPr>
          <w:rFonts w:cstheme="minorHAnsi"/>
          <w:sz w:val="16"/>
        </w:rPr>
      </w:pPr>
      <w:r w:rsidRPr="004E6FAF">
        <w:rPr>
          <w:rFonts w:cstheme="minorHAnsi"/>
          <w:sz w:val="16"/>
        </w:rPr>
        <w:t>Il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presente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comunicato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z w:val="16"/>
        </w:rPr>
        <w:t>stampa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z w:val="16"/>
        </w:rPr>
        <w:t>contiene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elementi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z w:val="16"/>
        </w:rPr>
        <w:t>previsionali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z w:val="16"/>
        </w:rPr>
        <w:t>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stime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z w:val="16"/>
        </w:rPr>
        <w:t>che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riflettono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z w:val="16"/>
        </w:rPr>
        <w:t>le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attuali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z w:val="16"/>
        </w:rPr>
        <w:t>opinioni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z w:val="16"/>
        </w:rPr>
        <w:t>del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z w:val="16"/>
        </w:rPr>
        <w:t>management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z w:val="16"/>
        </w:rPr>
        <w:t xml:space="preserve">(“forward-looking </w:t>
      </w:r>
      <w:r w:rsidRPr="004E6FAF">
        <w:rPr>
          <w:rFonts w:cstheme="minorHAnsi"/>
          <w:spacing w:val="-6"/>
          <w:sz w:val="16"/>
        </w:rPr>
        <w:t>statements”)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specie per quanto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riguarda performance gestionali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future, realizzazione di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investimenti, andamento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dei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flussi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di cassa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ed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 xml:space="preserve">evoluzione </w:t>
      </w:r>
      <w:r w:rsidRPr="004E6FAF">
        <w:rPr>
          <w:rFonts w:cstheme="minorHAnsi"/>
          <w:spacing w:val="-2"/>
          <w:sz w:val="16"/>
        </w:rPr>
        <w:t>della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struttura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finanziaria.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forward-looking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statements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hanno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per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loro</w:t>
      </w:r>
      <w:r w:rsidRPr="004E6FAF">
        <w:rPr>
          <w:rFonts w:cstheme="minorHAnsi"/>
          <w:spacing w:val="-10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natura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una</w:t>
      </w:r>
      <w:r w:rsidRPr="004E6FAF">
        <w:rPr>
          <w:rFonts w:cstheme="minorHAnsi"/>
          <w:spacing w:val="-6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componente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di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rischio</w:t>
      </w:r>
      <w:r w:rsidRPr="004E6FAF">
        <w:rPr>
          <w:rFonts w:cstheme="minorHAnsi"/>
          <w:spacing w:val="-11"/>
          <w:sz w:val="16"/>
        </w:rPr>
        <w:t xml:space="preserve"> </w:t>
      </w:r>
      <w:proofErr w:type="spellStart"/>
      <w:r w:rsidRPr="004E6FAF">
        <w:rPr>
          <w:rFonts w:cstheme="minorHAnsi"/>
          <w:spacing w:val="-2"/>
          <w:sz w:val="16"/>
        </w:rPr>
        <w:t>ed</w:t>
      </w:r>
      <w:proofErr w:type="spellEnd"/>
      <w:r w:rsidRPr="004E6FAF">
        <w:rPr>
          <w:rFonts w:cstheme="minorHAnsi"/>
          <w:spacing w:val="-5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incertezza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perché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dipendono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 xml:space="preserve">dal </w:t>
      </w:r>
      <w:r w:rsidRPr="004E6FAF">
        <w:rPr>
          <w:rFonts w:cstheme="minorHAnsi"/>
          <w:spacing w:val="-6"/>
          <w:sz w:val="16"/>
        </w:rPr>
        <w:t>verificarsi di eventi futuri.</w:t>
      </w:r>
      <w:r w:rsidRPr="004E6FAF">
        <w:rPr>
          <w:rFonts w:cstheme="minorHAnsi"/>
          <w:spacing w:val="-2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I</w:t>
      </w:r>
      <w:r w:rsidRPr="004E6FAF">
        <w:rPr>
          <w:rFonts w:cstheme="minorHAnsi"/>
          <w:spacing w:val="-2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risultati</w:t>
      </w:r>
      <w:r w:rsidRPr="004E6FAF">
        <w:rPr>
          <w:rFonts w:cstheme="minorHAnsi"/>
          <w:spacing w:val="-7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effettivi</w:t>
      </w:r>
      <w:r w:rsidRPr="004E6FAF">
        <w:rPr>
          <w:rFonts w:cstheme="minorHAnsi"/>
          <w:spacing w:val="-2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potranno differire anche in misura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significativa rispetto a quelli annunciati,</w:t>
      </w:r>
      <w:r w:rsidRPr="004E6FAF">
        <w:rPr>
          <w:rFonts w:cstheme="minorHAnsi"/>
          <w:spacing w:val="-2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in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>relazione a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6"/>
          <w:sz w:val="16"/>
        </w:rPr>
        <w:t xml:space="preserve">una pluralità </w:t>
      </w:r>
      <w:r w:rsidRPr="004E6FAF">
        <w:rPr>
          <w:rFonts w:cstheme="minorHAnsi"/>
          <w:spacing w:val="-4"/>
          <w:sz w:val="16"/>
        </w:rPr>
        <w:t>di fattori tra cui, a solo titolo esemplificativo: andamento del mercato della ristorazione fuori casa e dei flussi turistici</w:t>
      </w:r>
      <w:r w:rsidRPr="004E6FAF">
        <w:rPr>
          <w:rFonts w:cstheme="minorHAnsi"/>
          <w:sz w:val="16"/>
        </w:rPr>
        <w:t xml:space="preserve"> </w:t>
      </w:r>
      <w:r w:rsidRPr="004E6FAF">
        <w:rPr>
          <w:rFonts w:cstheme="minorHAnsi"/>
          <w:spacing w:val="-4"/>
          <w:sz w:val="16"/>
        </w:rPr>
        <w:t xml:space="preserve">in Italia, andamento del </w:t>
      </w:r>
      <w:r w:rsidRPr="004E6FAF">
        <w:rPr>
          <w:rFonts w:cstheme="minorHAnsi"/>
          <w:sz w:val="16"/>
        </w:rPr>
        <w:t xml:space="preserve">mercato orafo - gioielliero, andamento del mercato della green economy; evoluzione del prezzo delle materie prime; condizioni </w:t>
      </w:r>
      <w:r w:rsidRPr="004E6FAF">
        <w:rPr>
          <w:rFonts w:cstheme="minorHAnsi"/>
          <w:spacing w:val="-4"/>
          <w:sz w:val="16"/>
        </w:rPr>
        <w:t>macroeconomiche generali; fattori geopolitici ed evoluzioni del quadro normativo.</w:t>
      </w:r>
      <w:r w:rsidRPr="004E6FAF">
        <w:rPr>
          <w:rFonts w:cstheme="minorHAnsi"/>
          <w:spacing w:val="-5"/>
          <w:sz w:val="16"/>
        </w:rPr>
        <w:t xml:space="preserve"> </w:t>
      </w:r>
      <w:r w:rsidRPr="004E6FAF">
        <w:rPr>
          <w:rFonts w:cstheme="minorHAnsi"/>
          <w:spacing w:val="-4"/>
          <w:sz w:val="16"/>
        </w:rPr>
        <w:t xml:space="preserve">Le informazioni contenute nel presente comunicato, inoltre, </w:t>
      </w:r>
      <w:r w:rsidRPr="004E6FAF">
        <w:rPr>
          <w:rFonts w:cstheme="minorHAnsi"/>
          <w:spacing w:val="-2"/>
          <w:sz w:val="16"/>
        </w:rPr>
        <w:t>non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pretendono</w:t>
      </w:r>
      <w:r w:rsidRPr="004E6FAF">
        <w:rPr>
          <w:rFonts w:cstheme="minorHAnsi"/>
          <w:spacing w:val="-10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di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essere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complete,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né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sono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state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verificate</w:t>
      </w:r>
      <w:r w:rsidRPr="004E6FAF">
        <w:rPr>
          <w:rFonts w:cstheme="minorHAnsi"/>
          <w:spacing w:val="-11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da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terze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parti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indipendenti.</w:t>
      </w:r>
      <w:r w:rsidRPr="004E6FAF">
        <w:rPr>
          <w:rFonts w:cstheme="minorHAnsi"/>
          <w:spacing w:val="-11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Le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proiezioni,</w:t>
      </w:r>
      <w:r w:rsidRPr="004E6FAF">
        <w:rPr>
          <w:rFonts w:cstheme="minorHAnsi"/>
          <w:spacing w:val="-10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le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stime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e</w:t>
      </w:r>
      <w:r w:rsidRPr="004E6FAF">
        <w:rPr>
          <w:rFonts w:cstheme="minorHAnsi"/>
          <w:spacing w:val="-9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gli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obiettivi</w:t>
      </w:r>
      <w:r w:rsidRPr="004E6FAF">
        <w:rPr>
          <w:rFonts w:cstheme="minorHAnsi"/>
          <w:spacing w:val="-10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qui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>presentati</w:t>
      </w:r>
      <w:r w:rsidRPr="004E6FAF">
        <w:rPr>
          <w:rFonts w:cstheme="minorHAnsi"/>
          <w:spacing w:val="-8"/>
          <w:sz w:val="16"/>
        </w:rPr>
        <w:t xml:space="preserve"> </w:t>
      </w:r>
      <w:r w:rsidRPr="004E6FAF">
        <w:rPr>
          <w:rFonts w:cstheme="minorHAnsi"/>
          <w:spacing w:val="-2"/>
          <w:sz w:val="16"/>
        </w:rPr>
        <w:t xml:space="preserve">si </w:t>
      </w:r>
      <w:r w:rsidRPr="004E6FAF">
        <w:rPr>
          <w:rFonts w:cstheme="minorHAnsi"/>
          <w:sz w:val="16"/>
        </w:rPr>
        <w:t>basano</w:t>
      </w:r>
      <w:r w:rsidRPr="004E6FAF">
        <w:rPr>
          <w:rFonts w:cstheme="minorHAnsi"/>
          <w:spacing w:val="-12"/>
          <w:sz w:val="16"/>
        </w:rPr>
        <w:t xml:space="preserve"> </w:t>
      </w:r>
      <w:r w:rsidRPr="004E6FAF">
        <w:rPr>
          <w:rFonts w:cstheme="minorHAnsi"/>
          <w:sz w:val="16"/>
        </w:rPr>
        <w:t>sulle</w:t>
      </w:r>
      <w:r w:rsidRPr="004E6FAF">
        <w:rPr>
          <w:rFonts w:cstheme="minorHAnsi"/>
          <w:spacing w:val="-13"/>
          <w:sz w:val="16"/>
        </w:rPr>
        <w:t xml:space="preserve"> </w:t>
      </w:r>
      <w:r w:rsidRPr="004E6FAF">
        <w:rPr>
          <w:rFonts w:cstheme="minorHAnsi"/>
          <w:sz w:val="16"/>
        </w:rPr>
        <w:t>informazioni</w:t>
      </w:r>
      <w:r w:rsidRPr="004E6FAF">
        <w:rPr>
          <w:rFonts w:cstheme="minorHAnsi"/>
          <w:spacing w:val="-14"/>
          <w:sz w:val="16"/>
        </w:rPr>
        <w:t xml:space="preserve"> </w:t>
      </w:r>
      <w:r w:rsidRPr="004E6FAF">
        <w:rPr>
          <w:rFonts w:cstheme="minorHAnsi"/>
          <w:sz w:val="16"/>
        </w:rPr>
        <w:t>a</w:t>
      </w:r>
      <w:r w:rsidRPr="004E6FAF">
        <w:rPr>
          <w:rFonts w:cstheme="minorHAnsi"/>
          <w:spacing w:val="-14"/>
          <w:sz w:val="16"/>
        </w:rPr>
        <w:t xml:space="preserve"> </w:t>
      </w:r>
      <w:r w:rsidRPr="004E6FAF">
        <w:rPr>
          <w:rFonts w:cstheme="minorHAnsi"/>
          <w:sz w:val="16"/>
        </w:rPr>
        <w:t>disposizione</w:t>
      </w:r>
      <w:r w:rsidRPr="004E6FAF">
        <w:rPr>
          <w:rFonts w:cstheme="minorHAnsi"/>
          <w:spacing w:val="-13"/>
          <w:sz w:val="16"/>
        </w:rPr>
        <w:t xml:space="preserve"> </w:t>
      </w:r>
      <w:r w:rsidRPr="004E6FAF">
        <w:rPr>
          <w:rFonts w:cstheme="minorHAnsi"/>
          <w:sz w:val="16"/>
        </w:rPr>
        <w:t>della</w:t>
      </w:r>
      <w:r w:rsidRPr="004E6FAF">
        <w:rPr>
          <w:rFonts w:cstheme="minorHAnsi"/>
          <w:spacing w:val="-14"/>
          <w:sz w:val="16"/>
        </w:rPr>
        <w:t xml:space="preserve"> </w:t>
      </w:r>
      <w:r w:rsidRPr="004E6FAF">
        <w:rPr>
          <w:rFonts w:cstheme="minorHAnsi"/>
          <w:sz w:val="16"/>
        </w:rPr>
        <w:t>Società</w:t>
      </w:r>
      <w:r w:rsidRPr="004E6FAF">
        <w:rPr>
          <w:rFonts w:cstheme="minorHAnsi"/>
          <w:spacing w:val="-14"/>
          <w:sz w:val="16"/>
        </w:rPr>
        <w:t xml:space="preserve"> </w:t>
      </w:r>
      <w:r w:rsidRPr="004E6FAF">
        <w:rPr>
          <w:rFonts w:cstheme="minorHAnsi"/>
          <w:sz w:val="16"/>
        </w:rPr>
        <w:t>alla</w:t>
      </w:r>
      <w:r w:rsidRPr="004E6FAF">
        <w:rPr>
          <w:rFonts w:cstheme="minorHAnsi"/>
          <w:spacing w:val="-14"/>
          <w:sz w:val="16"/>
        </w:rPr>
        <w:t xml:space="preserve"> </w:t>
      </w:r>
      <w:r w:rsidRPr="004E6FAF">
        <w:rPr>
          <w:rFonts w:cstheme="minorHAnsi"/>
          <w:sz w:val="16"/>
        </w:rPr>
        <w:t>data</w:t>
      </w:r>
      <w:r w:rsidRPr="004E6FAF">
        <w:rPr>
          <w:rFonts w:cstheme="minorHAnsi"/>
          <w:spacing w:val="-16"/>
          <w:sz w:val="16"/>
        </w:rPr>
        <w:t xml:space="preserve"> </w:t>
      </w:r>
      <w:r w:rsidRPr="004E6FAF">
        <w:rPr>
          <w:rFonts w:cstheme="minorHAnsi"/>
          <w:sz w:val="16"/>
        </w:rPr>
        <w:t>del</w:t>
      </w:r>
      <w:r w:rsidRPr="004E6FAF">
        <w:rPr>
          <w:rFonts w:cstheme="minorHAnsi"/>
          <w:spacing w:val="-13"/>
          <w:sz w:val="16"/>
        </w:rPr>
        <w:t xml:space="preserve"> </w:t>
      </w:r>
      <w:r w:rsidRPr="004E6FAF">
        <w:rPr>
          <w:rFonts w:cstheme="minorHAnsi"/>
          <w:sz w:val="16"/>
        </w:rPr>
        <w:t>presente</w:t>
      </w:r>
      <w:r w:rsidRPr="004E6FAF">
        <w:rPr>
          <w:rFonts w:cstheme="minorHAnsi"/>
          <w:spacing w:val="-13"/>
          <w:sz w:val="16"/>
        </w:rPr>
        <w:t xml:space="preserve"> </w:t>
      </w:r>
      <w:r w:rsidRPr="004E6FAF">
        <w:rPr>
          <w:rFonts w:cstheme="minorHAnsi"/>
          <w:sz w:val="16"/>
        </w:rPr>
        <w:t>comunicato</w:t>
      </w:r>
    </w:p>
    <w:p w14:paraId="26810295" w14:textId="433933DF" w:rsidR="005F0A15" w:rsidRPr="005F0A15" w:rsidRDefault="005F0A15">
      <w:pPr>
        <w:rPr>
          <w:rFonts w:ascii="Calibri" w:hAnsi="Calibri" w:cs="Calibri"/>
          <w:sz w:val="22"/>
          <w:szCs w:val="22"/>
        </w:rPr>
      </w:pPr>
    </w:p>
    <w:sectPr w:rsidR="005F0A15" w:rsidRPr="005F0A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06DB9" w14:textId="77777777" w:rsidR="007C50E8" w:rsidRDefault="007C50E8" w:rsidP="007C50E8">
      <w:r>
        <w:separator/>
      </w:r>
    </w:p>
  </w:endnote>
  <w:endnote w:type="continuationSeparator" w:id="0">
    <w:p w14:paraId="7CD969A4" w14:textId="77777777" w:rsidR="007C50E8" w:rsidRDefault="007C50E8" w:rsidP="007C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CB7C0" w14:textId="77777777" w:rsidR="007C50E8" w:rsidRDefault="007C50E8" w:rsidP="007C50E8">
      <w:r>
        <w:separator/>
      </w:r>
    </w:p>
  </w:footnote>
  <w:footnote w:type="continuationSeparator" w:id="0">
    <w:p w14:paraId="51793FB6" w14:textId="77777777" w:rsidR="007C50E8" w:rsidRDefault="007C50E8" w:rsidP="007C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F348B4"/>
    <w:multiLevelType w:val="hybridMultilevel"/>
    <w:tmpl w:val="DC38F6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421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A15"/>
    <w:rsid w:val="000277D6"/>
    <w:rsid w:val="00056C05"/>
    <w:rsid w:val="000637DE"/>
    <w:rsid w:val="003D284C"/>
    <w:rsid w:val="0042545B"/>
    <w:rsid w:val="004E2BEE"/>
    <w:rsid w:val="005227CD"/>
    <w:rsid w:val="00591243"/>
    <w:rsid w:val="005B7869"/>
    <w:rsid w:val="005F0A15"/>
    <w:rsid w:val="006949FD"/>
    <w:rsid w:val="007147EE"/>
    <w:rsid w:val="007238EE"/>
    <w:rsid w:val="007B0D59"/>
    <w:rsid w:val="007C50E8"/>
    <w:rsid w:val="00862A9E"/>
    <w:rsid w:val="00872AFB"/>
    <w:rsid w:val="008958FB"/>
    <w:rsid w:val="00954913"/>
    <w:rsid w:val="009B438F"/>
    <w:rsid w:val="009F3E16"/>
    <w:rsid w:val="00AC5474"/>
    <w:rsid w:val="00B70159"/>
    <w:rsid w:val="00BA5470"/>
    <w:rsid w:val="00C124B6"/>
    <w:rsid w:val="00C34695"/>
    <w:rsid w:val="00C370AD"/>
    <w:rsid w:val="00CA1B42"/>
    <w:rsid w:val="00D06EBC"/>
    <w:rsid w:val="00E8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278A"/>
  <w15:chartTrackingRefBased/>
  <w15:docId w15:val="{B6F48E51-E1B0-499C-8DD5-66176725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F0A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F0A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F0A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0A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0A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0A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0A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0A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0A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F0A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F0A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F0A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0A1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0A1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0A1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0A1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0A1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0A1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0A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0A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0A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0A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0A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0A1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F0A1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0A1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0A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0A1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F0A15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C50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50E8"/>
  </w:style>
  <w:style w:type="paragraph" w:styleId="Pidipagina">
    <w:name w:val="footer"/>
    <w:basedOn w:val="Normale"/>
    <w:link w:val="PidipaginaCarattere"/>
    <w:uiPriority w:val="99"/>
    <w:unhideWhenUsed/>
    <w:rsid w:val="007C50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50E8"/>
  </w:style>
  <w:style w:type="paragraph" w:styleId="Corpotesto">
    <w:name w:val="Body Text"/>
    <w:basedOn w:val="Normale"/>
    <w:link w:val="CorpotestoCarattere"/>
    <w:uiPriority w:val="1"/>
    <w:qFormat/>
    <w:rsid w:val="007C50E8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C50E8"/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C50E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iegexpo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enrica.marrese@adnkrono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rico.bellinelli.professional@adnkronos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Bellinelli Enrico</dc:creator>
  <cp:keywords/>
  <dc:description/>
  <cp:lastModifiedBy>Mirko Malgieri</cp:lastModifiedBy>
  <cp:revision>2</cp:revision>
  <dcterms:created xsi:type="dcterms:W3CDTF">2025-05-07T09:01:00Z</dcterms:created>
  <dcterms:modified xsi:type="dcterms:W3CDTF">2025-05-07T09:01:00Z</dcterms:modified>
</cp:coreProperties>
</file>